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Title"/>
        <w:tag w:val=""/>
        <w:id w:val="603689685"/>
        <w:placeholder>
          <w:docPart w:val="19C06362187C43E78D23D96DE4226BDF"/>
        </w:placeholder>
        <w:dataBinding w:prefixMappings="xmlns:ns0='http://purl.org/dc/elements/1.1/' xmlns:ns1='http://schemas.openxmlformats.org/package/2006/metadata/core-properties' " w:xpath="/ns1:coreProperties[1]/ns0:title[1]" w:storeItemID="{6C3C8BC8-F283-45AE-878A-BAB7291924A1}"/>
        <w:text/>
      </w:sdtPr>
      <w:sdtEndPr/>
      <w:sdtContent>
        <w:p w14:paraId="4028350E" w14:textId="2848C776" w:rsidR="004E6F7D" w:rsidRDefault="00836ACA" w:rsidP="004E6F7D">
          <w:pPr>
            <w:pStyle w:val="Title"/>
            <w:pBdr>
              <w:bottom w:val="single" w:sz="4" w:space="0" w:color="auto"/>
            </w:pBdr>
          </w:pPr>
          <w:r w:rsidRPr="00836ACA">
            <w:t xml:space="preserve">Aerospace Industry Tool for Calculating Scope 3 </w:t>
          </w:r>
          <w:r>
            <w:t xml:space="preserve">Greenhouse Gas </w:t>
          </w:r>
          <w:r w:rsidRPr="00836ACA">
            <w:t>Emissions of Purchased Goods &amp; Services and Capital Goods: User Guide</w:t>
          </w:r>
        </w:p>
      </w:sdtContent>
    </w:sdt>
    <w:sdt>
      <w:sdtPr>
        <w:alias w:val="Publish Date"/>
        <w:tag w:val=""/>
        <w:id w:val="1560977478"/>
        <w:placeholder>
          <w:docPart w:val="61FA97A7103F45759D0AACD17DD797D9"/>
        </w:placeholder>
        <w:dataBinding w:prefixMappings="xmlns:ns0='http://schemas.microsoft.com/office/2006/coverPageProps' " w:xpath="/ns0:CoverPageProperties[1]/ns0:PublishDate[1]" w:storeItemID="{55AF091B-3C7A-41E3-B477-F2FDAA23CFDA}"/>
        <w:date w:fullDate="2021-08-20T00:00:00Z">
          <w:dateFormat w:val="dd MMMM yyyy"/>
          <w:lid w:val="en-GB"/>
          <w:storeMappedDataAs w:val="dateTime"/>
          <w:calendar w:val="gregorian"/>
        </w:date>
      </w:sdtPr>
      <w:sdtEndPr/>
      <w:sdtContent>
        <w:p w14:paraId="6188284F" w14:textId="2B494190" w:rsidR="004E6F7D" w:rsidRDefault="00836D3F" w:rsidP="004E6F7D">
          <w:pPr>
            <w:pStyle w:val="Subtitle"/>
          </w:pPr>
          <w:r>
            <w:rPr>
              <w:lang w:val="en-GB"/>
            </w:rPr>
            <w:t>20 August 2021</w:t>
          </w:r>
        </w:p>
      </w:sdtContent>
    </w:sdt>
    <w:p w14:paraId="3F7F50D1" w14:textId="77777777" w:rsidR="004E6F7D" w:rsidRPr="00FA199B" w:rsidRDefault="00501979" w:rsidP="00FA199B">
      <w:pPr>
        <w:pStyle w:val="Subtitle"/>
      </w:pPr>
      <w:r w:rsidRPr="00FA199B">
        <w:rPr>
          <w:rStyle w:val="SubtleEmphasis"/>
          <w:i/>
          <w:iCs/>
        </w:rPr>
        <w:t>Versio</w:t>
      </w:r>
      <w:r w:rsidR="00401E35" w:rsidRPr="00FA199B">
        <w:rPr>
          <w:rStyle w:val="SubtleEmphasis"/>
          <w:i/>
          <w:iCs/>
        </w:rPr>
        <w:t xml:space="preserve">n </w:t>
      </w:r>
      <w:r w:rsidR="00485426">
        <w:rPr>
          <w:rStyle w:val="Emphasis"/>
        </w:rPr>
        <w:t>1.0</w:t>
      </w:r>
    </w:p>
    <w:p w14:paraId="124C2DE8" w14:textId="77777777" w:rsidR="004E6F7D" w:rsidRDefault="004E6F7D" w:rsidP="004E6F7D"/>
    <w:p w14:paraId="0F89D7CE" w14:textId="77777777" w:rsidR="004E6F7D" w:rsidRDefault="004E6F7D" w:rsidP="004E6F7D"/>
    <w:p w14:paraId="3628A7FE" w14:textId="77777777" w:rsidR="004E6F7D" w:rsidRDefault="004E6F7D" w:rsidP="004E6F7D"/>
    <w:p w14:paraId="50C190EA" w14:textId="77777777" w:rsidR="004E6F7D" w:rsidRDefault="004E6F7D" w:rsidP="004E6F7D"/>
    <w:p w14:paraId="2CE15273" w14:textId="77777777" w:rsidR="004E6F7D" w:rsidRDefault="004E6F7D" w:rsidP="004E6F7D">
      <w:r>
        <w:rPr>
          <w:noProof/>
          <w:lang w:eastAsia="en-US"/>
        </w:rPr>
        <mc:AlternateContent>
          <mc:Choice Requires="wps">
            <w:drawing>
              <wp:inline distT="0" distB="0" distL="0" distR="0" wp14:anchorId="6E37A2AD" wp14:editId="6768C5ED">
                <wp:extent cx="5731510" cy="840740"/>
                <wp:effectExtent l="0" t="0" r="254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40740"/>
                        </a:xfrm>
                        <a:prstGeom prst="rect">
                          <a:avLst/>
                        </a:prstGeom>
                        <a:solidFill>
                          <a:schemeClr val="accent5">
                            <a:lumMod val="20000"/>
                            <a:lumOff val="80000"/>
                          </a:schemeClr>
                        </a:solidFill>
                        <a:ln w="9525">
                          <a:noFill/>
                          <a:miter lim="800000"/>
                          <a:headEnd/>
                          <a:tailEnd/>
                        </a:ln>
                      </wps:spPr>
                      <wps:txbx>
                        <w:txbxContent>
                          <w:p w14:paraId="7BC2FBE8" w14:textId="7DD1E677" w:rsidR="004E6F7D" w:rsidRDefault="004E6F7D" w:rsidP="004E6F7D">
                            <w:pPr>
                              <w:spacing w:after="180" w:line="240" w:lineRule="auto"/>
                            </w:pPr>
                            <w:r>
                              <w:t xml:space="preserve">This document is released for purpose of </w:t>
                            </w:r>
                            <w:sdt>
                              <w:sdtPr>
                                <w:alias w:val="Comments"/>
                                <w:tag w:val=""/>
                                <w:id w:val="1275751528"/>
                                <w:dataBinding w:prefixMappings="xmlns:ns0='http://purl.org/dc/elements/1.1/' xmlns:ns1='http://schemas.openxmlformats.org/package/2006/metadata/core-properties' " w:xpath="/ns1:coreProperties[1]/ns0:description[1]" w:storeItemID="{6C3C8BC8-F283-45AE-878A-BAB7291924A1}"/>
                                <w:text w:multiLine="1"/>
                              </w:sdtPr>
                              <w:sdtEndPr/>
                              <w:sdtContent>
                                <w:r w:rsidR="00836D3F">
                                  <w:t>supporting voluntary accounting and reporting of greenhouse gas (GHG) emissions associated with purchased goods and services and capital goods across the aerospace industry.</w:t>
                                </w:r>
                              </w:sdtContent>
                            </w:sdt>
                          </w:p>
                          <w:p w14:paraId="0246E926" w14:textId="77777777" w:rsidR="004E6F7D" w:rsidRDefault="004E6F7D" w:rsidP="004E6F7D">
                            <w:pPr>
                              <w:spacing w:after="180" w:line="240" w:lineRule="auto"/>
                            </w:pPr>
                            <w:r>
                              <w:t>Any further distribution or use requires the written consent of IAEG in accordance with our copyright statement below.</w:t>
                            </w:r>
                          </w:p>
                        </w:txbxContent>
                      </wps:txbx>
                      <wps:bodyPr rot="0" vert="horz" wrap="square" lIns="91440" tIns="45720" rIns="91440" bIns="45720" anchor="t" anchorCtr="0">
                        <a:spAutoFit/>
                      </wps:bodyPr>
                    </wps:wsp>
                  </a:graphicData>
                </a:graphic>
              </wp:inline>
            </w:drawing>
          </mc:Choice>
          <mc:Fallback>
            <w:pict>
              <v:shapetype w14:anchorId="6E37A2AD" id="_x0000_t202" coordsize="21600,21600" o:spt="202" path="m,l,21600r21600,l21600,xe">
                <v:stroke joinstyle="miter"/>
                <v:path gradientshapeok="t" o:connecttype="rect"/>
              </v:shapetype>
              <v:shape id="Text Box 1" o:spid="_x0000_s1026" type="#_x0000_t202" style="width:451.3pt;height: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" fillcolor="#daeef3 [664]" stroked="f">
                <v:textbox style="mso-fit-shape-to-text:t">
                  <w:txbxContent>
                    <w:p w14:paraId="7BC2FBE8" w14:textId="7DD1E677" w:rsidR="004E6F7D" w:rsidRDefault="004E6F7D" w:rsidP="004E6F7D">
                      <w:pPr>
                        <w:spacing w:after="180" w:line="240" w:lineRule="auto"/>
                      </w:pPr>
                      <w:r>
                        <w:t xml:space="preserve">This document is released for purpose of </w:t>
                      </w:r>
                      <w:sdt>
                        <w:sdtPr>
                          <w:alias w:val="Comments"/>
                          <w:tag w:val=""/>
                          <w:id w:val="1275751528"/>
                          <w:dataBinding w:prefixMappings="xmlns:ns0='http://purl.org/dc/elements/1.1/' xmlns:ns1='http://schemas.openxmlformats.org/package/2006/metadata/core-properties' " w:xpath="/ns1:coreProperties[1]/ns0:description[1]" w:storeItemID="{6C3C8BC8-F283-45AE-878A-BAB7291924A1}"/>
                          <w:text w:multiLine="1"/>
                        </w:sdtPr>
                        <w:sdtEndPr/>
                        <w:sdtContent>
                          <w:r w:rsidR="00836D3F">
                            <w:t>supporting voluntary accounting and reporting of greenhouse gas (GHG) emissions associated with purchased goods and services and capital goods across the aerospace industry.</w:t>
                          </w:r>
                        </w:sdtContent>
                      </w:sdt>
                    </w:p>
                    <w:p w14:paraId="0246E926" w14:textId="77777777" w:rsidR="004E6F7D" w:rsidRDefault="004E6F7D" w:rsidP="004E6F7D">
                      <w:pPr>
                        <w:spacing w:after="180" w:line="240" w:lineRule="auto"/>
                      </w:pPr>
                      <w:r>
                        <w:t>Any further distribution or use requires the written consent of IAEG in accordance with our copyright statement below.</w:t>
                      </w:r>
                    </w:p>
                  </w:txbxContent>
                </v:textbox>
                <w10:anchorlock/>
              </v:shape>
            </w:pict>
          </mc:Fallback>
        </mc:AlternateContent>
      </w:r>
    </w:p>
    <w:p w14:paraId="5B24DFC4" w14:textId="77777777" w:rsidR="004E6F7D" w:rsidRDefault="004E6F7D" w:rsidP="004E6F7D">
      <w:pPr>
        <w:rPr>
          <w:highlight w:val="lightGray"/>
        </w:rPr>
        <w:sectPr w:rsidR="004E6F7D" w:rsidSect="004E6F7D">
          <w:headerReference w:type="default" r:id="rId11"/>
          <w:footerReference w:type="default" r:id="rId12"/>
          <w:headerReference w:type="first" r:id="rId13"/>
          <w:pgSz w:w="11906" w:h="16838"/>
          <w:pgMar w:top="1440" w:right="1440" w:bottom="1440" w:left="1440" w:header="708" w:footer="708" w:gutter="0"/>
          <w:cols w:space="708"/>
          <w:titlePg/>
          <w:docGrid w:linePitch="360"/>
        </w:sectPr>
      </w:pPr>
      <w:r>
        <w:rPr>
          <w:noProof/>
          <w:lang w:eastAsia="en-US"/>
        </w:rPr>
        <mc:AlternateContent>
          <mc:Choice Requires="wps">
            <w:drawing>
              <wp:inline distT="0" distB="0" distL="0" distR="0" wp14:anchorId="397DF156" wp14:editId="2FA03AB9">
                <wp:extent cx="5731510" cy="880264"/>
                <wp:effectExtent l="0" t="0" r="21590" b="215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0264"/>
                        </a:xfrm>
                        <a:prstGeom prst="rect">
                          <a:avLst/>
                        </a:prstGeom>
                        <a:noFill/>
                        <a:ln w="9525">
                          <a:solidFill>
                            <a:schemeClr val="accent5">
                              <a:lumMod val="20000"/>
                              <a:lumOff val="80000"/>
                            </a:schemeClr>
                          </a:solidFill>
                          <a:miter lim="800000"/>
                          <a:headEnd/>
                          <a:tailEnd/>
                        </a:ln>
                      </wps:spPr>
                      <wps:txbx>
                        <w:txbxContent>
                          <w:p w14:paraId="24DE1032" w14:textId="5091B96A" w:rsidR="004E6F7D" w:rsidRPr="004E6F7D" w:rsidRDefault="004E6F7D" w:rsidP="004E6F7D">
                            <w:pPr>
                              <w:spacing w:after="180" w:line="240" w:lineRule="auto"/>
                              <w:rPr>
                                <w:b/>
                              </w:rPr>
                            </w:pPr>
                            <w:r w:rsidRPr="004E6F7D">
                              <w:rPr>
                                <w:b/>
                              </w:rPr>
                              <w:t xml:space="preserve">© </w:t>
                            </w:r>
                            <w:r w:rsidR="001E27F6">
                              <w:rPr>
                                <w:b/>
                              </w:rPr>
                              <w:fldChar w:fldCharType="begin"/>
                            </w:r>
                            <w:r w:rsidR="001E27F6">
                              <w:rPr>
                                <w:b/>
                              </w:rPr>
                              <w:instrText xml:space="preserve"> DATE  \@ "yyyy"  \* MERGEFORMAT </w:instrText>
                            </w:r>
                            <w:r w:rsidR="001E27F6">
                              <w:rPr>
                                <w:b/>
                              </w:rPr>
                              <w:fldChar w:fldCharType="separate"/>
                            </w:r>
                            <w:r w:rsidR="00785DEB">
                              <w:rPr>
                                <w:b/>
                                <w:noProof/>
                              </w:rPr>
                              <w:t>2021</w:t>
                            </w:r>
                            <w:r w:rsidR="001E27F6">
                              <w:rPr>
                                <w:b/>
                              </w:rPr>
                              <w:fldChar w:fldCharType="end"/>
                            </w:r>
                            <w:r w:rsidRPr="004E6F7D">
                              <w:rPr>
                                <w:b/>
                              </w:rPr>
                              <w:t xml:space="preserve"> IAEG®</w:t>
                            </w:r>
                          </w:p>
                          <w:p w14:paraId="76202201" w14:textId="77777777" w:rsidR="004E6F7D" w:rsidRDefault="004E6F7D" w:rsidP="004E6F7D">
                            <w:pPr>
                              <w:spacing w:after="180" w:line="240" w:lineRule="auto"/>
                            </w:pPr>
                            <w:r>
                              <w:t>The International Aerospace Environmental Group® ("IAEG®") is the owner of this material. This material may not be used for any purpose other than that for which it is provided without the express written consent of IAEG®. IAEG® will accept no liability for any damages from any use of this material including without limitation any direct, indirect, incidental, special and consequential damages, loss of data, income, profit or goodwill, loss of or damage to property or claims of third parties. IAEG® reserves the right to add to, change or delete its content or any part thereof without notice.</w:t>
                            </w:r>
                          </w:p>
                        </w:txbxContent>
                      </wps:txbx>
                      <wps:bodyPr rot="0" vert="horz" wrap="square" lIns="91440" tIns="45720" rIns="91440" bIns="45720" anchor="t" anchorCtr="0">
                        <a:spAutoFit/>
                      </wps:bodyPr>
                    </wps:wsp>
                  </a:graphicData>
                </a:graphic>
              </wp:inline>
            </w:drawing>
          </mc:Choice>
          <mc:Fallback>
            <w:pict>
              <v:shape w14:anchorId="397DF156" id="Text Box 2" o:spid="_x0000_s1027" type="#_x0000_t202" style="width:451.3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" filled="f" strokecolor="#daeef3 [664]">
                <v:textbox style="mso-fit-shape-to-text:t">
                  <w:txbxContent>
                    <w:p w14:paraId="24DE1032" w14:textId="5091B96A" w:rsidR="004E6F7D" w:rsidRPr="004E6F7D" w:rsidRDefault="004E6F7D" w:rsidP="004E6F7D">
                      <w:pPr>
                        <w:spacing w:after="180" w:line="240" w:lineRule="auto"/>
                        <w:rPr>
                          <w:b/>
                        </w:rPr>
                      </w:pPr>
                      <w:r w:rsidRPr="004E6F7D">
                        <w:rPr>
                          <w:b/>
                        </w:rPr>
                        <w:t xml:space="preserve">© </w:t>
                      </w:r>
                      <w:r w:rsidR="001E27F6">
                        <w:rPr>
                          <w:b/>
                        </w:rPr>
                        <w:fldChar w:fldCharType="begin"/>
                      </w:r>
                      <w:r w:rsidR="001E27F6">
                        <w:rPr>
                          <w:b/>
                        </w:rPr>
                        <w:instrText xml:space="preserve"> DATE  \@ "yyyy"  \* MERGEFORMAT </w:instrText>
                      </w:r>
                      <w:r w:rsidR="001E27F6">
                        <w:rPr>
                          <w:b/>
                        </w:rPr>
                        <w:fldChar w:fldCharType="separate"/>
                      </w:r>
                      <w:r w:rsidR="00785DEB">
                        <w:rPr>
                          <w:b/>
                          <w:noProof/>
                        </w:rPr>
                        <w:t>2021</w:t>
                      </w:r>
                      <w:r w:rsidR="001E27F6">
                        <w:rPr>
                          <w:b/>
                        </w:rPr>
                        <w:fldChar w:fldCharType="end"/>
                      </w:r>
                      <w:r w:rsidRPr="004E6F7D">
                        <w:rPr>
                          <w:b/>
                        </w:rPr>
                        <w:t xml:space="preserve"> IAEG®</w:t>
                      </w:r>
                    </w:p>
                    <w:p w14:paraId="76202201" w14:textId="77777777" w:rsidR="004E6F7D" w:rsidRDefault="004E6F7D" w:rsidP="004E6F7D">
                      <w:pPr>
                        <w:spacing w:after="180" w:line="240" w:lineRule="auto"/>
                      </w:pPr>
                      <w:r>
                        <w:t>The International Aerospace Environmental Group® ("IAEG®") is the owner of this material. This material may not be used for any purpose other than that for which it is provided without the express written consent of IAEG®. IAEG® will accept no liability for any damages from any use of this material including without limitation any direct, indirect, incidental, special and consequential damages, loss of data, income, profit or goodwill, loss of or damage to property or claims of third parties. IAEG® reserves the right to add to, change or delete its content or any part thereof without notice.</w:t>
                      </w:r>
                    </w:p>
                  </w:txbxContent>
                </v:textbox>
                <w10:anchorlock/>
              </v:shape>
            </w:pict>
          </mc:Fallback>
        </mc:AlternateContent>
      </w:r>
    </w:p>
    <w:p w14:paraId="30A941D0" w14:textId="77777777" w:rsidR="004E6F7D" w:rsidRDefault="004E6F7D" w:rsidP="004E6F7D">
      <w:pPr>
        <w:pStyle w:val="Heading1"/>
        <w:numPr>
          <w:ilvl w:val="0"/>
          <w:numId w:val="0"/>
        </w:numPr>
        <w:ind w:left="432" w:hanging="432"/>
      </w:pPr>
      <w:bookmarkStart w:id="0" w:name="_Toc80362427"/>
      <w:r>
        <w:lastRenderedPageBreak/>
        <w:t>Version History</w:t>
      </w:r>
      <w:bookmarkEnd w:id="0"/>
    </w:p>
    <w:tbl>
      <w:tblPr>
        <w:tblStyle w:val="TableGrid"/>
        <w:tblW w:w="0" w:type="auto"/>
        <w:tblLook w:val="04A0" w:firstRow="1" w:lastRow="0" w:firstColumn="1" w:lastColumn="0" w:noHBand="0" w:noVBand="1"/>
      </w:tblPr>
      <w:tblGrid>
        <w:gridCol w:w="1055"/>
        <w:gridCol w:w="495"/>
        <w:gridCol w:w="1965"/>
        <w:gridCol w:w="5501"/>
      </w:tblGrid>
      <w:tr w:rsidR="004E6F7D" w:rsidRPr="004E6F7D" w14:paraId="135CBEFD" w14:textId="77777777" w:rsidTr="00D965CF">
        <w:tc>
          <w:tcPr>
            <w:tcW w:w="0" w:type="auto"/>
          </w:tcPr>
          <w:p w14:paraId="684E99B5" w14:textId="77777777" w:rsidR="004E6F7D" w:rsidRPr="004E6F7D" w:rsidRDefault="004E6F7D" w:rsidP="0054372D">
            <w:pPr>
              <w:rPr>
                <w:b/>
              </w:rPr>
            </w:pPr>
            <w:r w:rsidRPr="004E6F7D">
              <w:rPr>
                <w:b/>
              </w:rPr>
              <w:t>Date</w:t>
            </w:r>
          </w:p>
        </w:tc>
        <w:tc>
          <w:tcPr>
            <w:tcW w:w="0" w:type="auto"/>
          </w:tcPr>
          <w:p w14:paraId="2A6BAA18" w14:textId="77777777" w:rsidR="004E6F7D" w:rsidRPr="004E6F7D" w:rsidRDefault="001E27F6" w:rsidP="001E27F6">
            <w:pPr>
              <w:rPr>
                <w:b/>
              </w:rPr>
            </w:pPr>
            <w:r>
              <w:rPr>
                <w:b/>
              </w:rPr>
              <w:t>v</w:t>
            </w:r>
            <w:r w:rsidR="00401E35">
              <w:rPr>
                <w:b/>
              </w:rPr>
              <w:t>#</w:t>
            </w:r>
          </w:p>
        </w:tc>
        <w:tc>
          <w:tcPr>
            <w:tcW w:w="2032" w:type="dxa"/>
          </w:tcPr>
          <w:p w14:paraId="7F691F6D" w14:textId="77777777" w:rsidR="004E6F7D" w:rsidRPr="004E6F7D" w:rsidRDefault="004E6F7D" w:rsidP="0054372D">
            <w:pPr>
              <w:rPr>
                <w:b/>
              </w:rPr>
            </w:pPr>
            <w:r w:rsidRPr="004E6F7D">
              <w:rPr>
                <w:b/>
              </w:rPr>
              <w:t>Modified By</w:t>
            </w:r>
          </w:p>
        </w:tc>
        <w:tc>
          <w:tcPr>
            <w:tcW w:w="5838" w:type="dxa"/>
          </w:tcPr>
          <w:p w14:paraId="7EE78816" w14:textId="77777777" w:rsidR="004E6F7D" w:rsidRPr="004E6F7D" w:rsidRDefault="004E6F7D" w:rsidP="0054372D">
            <w:pPr>
              <w:rPr>
                <w:b/>
              </w:rPr>
            </w:pPr>
            <w:r w:rsidRPr="004E6F7D">
              <w:rPr>
                <w:b/>
              </w:rPr>
              <w:t>Section, Page(s) and Text Revised</w:t>
            </w:r>
          </w:p>
        </w:tc>
      </w:tr>
      <w:tr w:rsidR="004E6F7D" w:rsidRPr="004E6F7D" w14:paraId="4AA8D90F" w14:textId="77777777" w:rsidTr="00D965CF">
        <w:tc>
          <w:tcPr>
            <w:tcW w:w="0" w:type="auto"/>
          </w:tcPr>
          <w:p w14:paraId="6817A149" w14:textId="04847C9C" w:rsidR="004E6F7D" w:rsidRPr="004E6F7D" w:rsidRDefault="00580AB3" w:rsidP="0054372D">
            <w:r>
              <w:t>20/08/21</w:t>
            </w:r>
          </w:p>
        </w:tc>
        <w:tc>
          <w:tcPr>
            <w:tcW w:w="0" w:type="auto"/>
          </w:tcPr>
          <w:p w14:paraId="6D936241" w14:textId="77777777" w:rsidR="004E6F7D" w:rsidRPr="004E6F7D" w:rsidRDefault="00485426" w:rsidP="0054372D">
            <w:r>
              <w:t>1.0</w:t>
            </w:r>
          </w:p>
        </w:tc>
        <w:tc>
          <w:tcPr>
            <w:tcW w:w="2032" w:type="dxa"/>
          </w:tcPr>
          <w:p w14:paraId="4A2D57AA" w14:textId="61DA8567" w:rsidR="004E6F7D" w:rsidRPr="004E6F7D" w:rsidRDefault="00580AB3" w:rsidP="0054372D">
            <w:r>
              <w:t>IAEG WG3</w:t>
            </w:r>
          </w:p>
        </w:tc>
        <w:tc>
          <w:tcPr>
            <w:tcW w:w="5838" w:type="dxa"/>
          </w:tcPr>
          <w:p w14:paraId="4888FEEE" w14:textId="77777777" w:rsidR="004E6F7D" w:rsidRPr="004E6F7D" w:rsidRDefault="00485426" w:rsidP="0054372D">
            <w:r>
              <w:t>Initial Release</w:t>
            </w:r>
          </w:p>
        </w:tc>
      </w:tr>
    </w:tbl>
    <w:p w14:paraId="4A9C042B" w14:textId="77777777" w:rsidR="00D965CF" w:rsidRDefault="00D965CF">
      <w:r>
        <w:br w:type="page"/>
      </w:r>
    </w:p>
    <w:sdt>
      <w:sdtPr>
        <w:rPr>
          <w:rFonts w:asciiTheme="minorHAnsi" w:eastAsiaTheme="minorEastAsia" w:hAnsiTheme="minorHAnsi" w:cstheme="minorBidi"/>
          <w:b w:val="0"/>
          <w:bCs w:val="0"/>
          <w:sz w:val="22"/>
          <w:szCs w:val="22"/>
          <w:lang w:bidi="ar-SA"/>
        </w:rPr>
        <w:id w:val="396175159"/>
        <w:docPartObj>
          <w:docPartGallery w:val="Table of Contents"/>
          <w:docPartUnique/>
        </w:docPartObj>
      </w:sdtPr>
      <w:sdtEndPr>
        <w:rPr>
          <w:noProof/>
        </w:rPr>
      </w:sdtEndPr>
      <w:sdtContent>
        <w:p w14:paraId="5E58B8CA" w14:textId="77777777" w:rsidR="004E6F7D" w:rsidRDefault="004E6F7D" w:rsidP="004E6F7D">
          <w:pPr>
            <w:pStyle w:val="TOCHeading"/>
            <w:numPr>
              <w:ilvl w:val="0"/>
              <w:numId w:val="0"/>
            </w:numPr>
            <w:ind w:left="432" w:hanging="432"/>
          </w:pPr>
          <w:r>
            <w:t>Table of Contents</w:t>
          </w:r>
        </w:p>
        <w:p w14:paraId="0CB60F0D" w14:textId="77777777" w:rsidR="00D965CF" w:rsidRDefault="004E6F7D">
          <w:pPr>
            <w:pStyle w:val="TOC1"/>
            <w:tabs>
              <w:tab w:val="right" w:leader="dot" w:pos="9016"/>
            </w:tabs>
            <w:rPr>
              <w:noProof/>
              <w:lang w:eastAsia="en-US"/>
            </w:rPr>
          </w:pPr>
          <w:r>
            <w:fldChar w:fldCharType="begin"/>
          </w:r>
          <w:r>
            <w:instrText xml:space="preserve"> TOC \o "1-3" \h \z \u </w:instrText>
          </w:r>
          <w:r>
            <w:fldChar w:fldCharType="separate"/>
          </w:r>
          <w:hyperlink w:anchor="_Toc80362427" w:history="1">
            <w:r w:rsidR="00D965CF" w:rsidRPr="00816C7A">
              <w:rPr>
                <w:rStyle w:val="Hyperlink"/>
                <w:noProof/>
              </w:rPr>
              <w:t>Version History</w:t>
            </w:r>
            <w:r w:rsidR="00D965CF">
              <w:rPr>
                <w:noProof/>
                <w:webHidden/>
              </w:rPr>
              <w:tab/>
            </w:r>
            <w:r w:rsidR="00D965CF">
              <w:rPr>
                <w:noProof/>
                <w:webHidden/>
              </w:rPr>
              <w:fldChar w:fldCharType="begin"/>
            </w:r>
            <w:r w:rsidR="00D965CF">
              <w:rPr>
                <w:noProof/>
                <w:webHidden/>
              </w:rPr>
              <w:instrText xml:space="preserve"> PAGEREF _Toc80362427 \h </w:instrText>
            </w:r>
            <w:r w:rsidR="00D965CF">
              <w:rPr>
                <w:noProof/>
                <w:webHidden/>
              </w:rPr>
            </w:r>
            <w:r w:rsidR="00D965CF">
              <w:rPr>
                <w:noProof/>
                <w:webHidden/>
              </w:rPr>
              <w:fldChar w:fldCharType="separate"/>
            </w:r>
            <w:r w:rsidR="00D965CF">
              <w:rPr>
                <w:noProof/>
                <w:webHidden/>
              </w:rPr>
              <w:t>2</w:t>
            </w:r>
            <w:r w:rsidR="00D965CF">
              <w:rPr>
                <w:noProof/>
                <w:webHidden/>
              </w:rPr>
              <w:fldChar w:fldCharType="end"/>
            </w:r>
          </w:hyperlink>
        </w:p>
        <w:p w14:paraId="3F6C2E41" w14:textId="77777777" w:rsidR="00D965CF" w:rsidRDefault="00C719FD">
          <w:pPr>
            <w:pStyle w:val="TOC1"/>
            <w:tabs>
              <w:tab w:val="left" w:pos="440"/>
              <w:tab w:val="right" w:leader="dot" w:pos="9016"/>
            </w:tabs>
            <w:rPr>
              <w:noProof/>
              <w:lang w:eastAsia="en-US"/>
            </w:rPr>
          </w:pPr>
          <w:hyperlink w:anchor="_Toc80362428" w:history="1">
            <w:r w:rsidR="00D965CF" w:rsidRPr="00816C7A">
              <w:rPr>
                <w:rStyle w:val="Hyperlink"/>
                <w:noProof/>
              </w:rPr>
              <w:t>1</w:t>
            </w:r>
            <w:r w:rsidR="00D965CF">
              <w:rPr>
                <w:noProof/>
                <w:lang w:eastAsia="en-US"/>
              </w:rPr>
              <w:tab/>
            </w:r>
            <w:r w:rsidR="00D965CF" w:rsidRPr="00816C7A">
              <w:rPr>
                <w:rStyle w:val="Hyperlink"/>
                <w:noProof/>
              </w:rPr>
              <w:t>Glossary</w:t>
            </w:r>
            <w:r w:rsidR="00D965CF">
              <w:rPr>
                <w:noProof/>
                <w:webHidden/>
              </w:rPr>
              <w:tab/>
            </w:r>
            <w:r w:rsidR="00D965CF">
              <w:rPr>
                <w:noProof/>
                <w:webHidden/>
              </w:rPr>
              <w:fldChar w:fldCharType="begin"/>
            </w:r>
            <w:r w:rsidR="00D965CF">
              <w:rPr>
                <w:noProof/>
                <w:webHidden/>
              </w:rPr>
              <w:instrText xml:space="preserve"> PAGEREF _Toc80362428 \h </w:instrText>
            </w:r>
            <w:r w:rsidR="00D965CF">
              <w:rPr>
                <w:noProof/>
                <w:webHidden/>
              </w:rPr>
            </w:r>
            <w:r w:rsidR="00D965CF">
              <w:rPr>
                <w:noProof/>
                <w:webHidden/>
              </w:rPr>
              <w:fldChar w:fldCharType="separate"/>
            </w:r>
            <w:r w:rsidR="00D965CF">
              <w:rPr>
                <w:noProof/>
                <w:webHidden/>
              </w:rPr>
              <w:t>4</w:t>
            </w:r>
            <w:r w:rsidR="00D965CF">
              <w:rPr>
                <w:noProof/>
                <w:webHidden/>
              </w:rPr>
              <w:fldChar w:fldCharType="end"/>
            </w:r>
          </w:hyperlink>
        </w:p>
        <w:p w14:paraId="343746DC" w14:textId="77777777" w:rsidR="00D965CF" w:rsidRDefault="00C719FD">
          <w:pPr>
            <w:pStyle w:val="TOC1"/>
            <w:tabs>
              <w:tab w:val="left" w:pos="440"/>
              <w:tab w:val="right" w:leader="dot" w:pos="9016"/>
            </w:tabs>
            <w:rPr>
              <w:noProof/>
              <w:lang w:eastAsia="en-US"/>
            </w:rPr>
          </w:pPr>
          <w:hyperlink w:anchor="_Toc80362429" w:history="1">
            <w:r w:rsidR="00D965CF" w:rsidRPr="00816C7A">
              <w:rPr>
                <w:rStyle w:val="Hyperlink"/>
                <w:noProof/>
              </w:rPr>
              <w:t>2</w:t>
            </w:r>
            <w:r w:rsidR="00D965CF">
              <w:rPr>
                <w:noProof/>
                <w:lang w:eastAsia="en-US"/>
              </w:rPr>
              <w:tab/>
            </w:r>
            <w:r w:rsidR="00D965CF" w:rsidRPr="00816C7A">
              <w:rPr>
                <w:rStyle w:val="Hyperlink"/>
                <w:noProof/>
              </w:rPr>
              <w:t>Introduction</w:t>
            </w:r>
            <w:r w:rsidR="00D965CF">
              <w:rPr>
                <w:noProof/>
                <w:webHidden/>
              </w:rPr>
              <w:tab/>
            </w:r>
            <w:r w:rsidR="00D965CF">
              <w:rPr>
                <w:noProof/>
                <w:webHidden/>
              </w:rPr>
              <w:fldChar w:fldCharType="begin"/>
            </w:r>
            <w:r w:rsidR="00D965CF">
              <w:rPr>
                <w:noProof/>
                <w:webHidden/>
              </w:rPr>
              <w:instrText xml:space="preserve"> PAGEREF _Toc80362429 \h </w:instrText>
            </w:r>
            <w:r w:rsidR="00D965CF">
              <w:rPr>
                <w:noProof/>
                <w:webHidden/>
              </w:rPr>
            </w:r>
            <w:r w:rsidR="00D965CF">
              <w:rPr>
                <w:noProof/>
                <w:webHidden/>
              </w:rPr>
              <w:fldChar w:fldCharType="separate"/>
            </w:r>
            <w:r w:rsidR="00D965CF">
              <w:rPr>
                <w:noProof/>
                <w:webHidden/>
              </w:rPr>
              <w:t>5</w:t>
            </w:r>
            <w:r w:rsidR="00D965CF">
              <w:rPr>
                <w:noProof/>
                <w:webHidden/>
              </w:rPr>
              <w:fldChar w:fldCharType="end"/>
            </w:r>
          </w:hyperlink>
        </w:p>
        <w:p w14:paraId="47A63831" w14:textId="77777777" w:rsidR="00D965CF" w:rsidRDefault="00C719FD">
          <w:pPr>
            <w:pStyle w:val="TOC2"/>
            <w:tabs>
              <w:tab w:val="left" w:pos="880"/>
              <w:tab w:val="right" w:leader="dot" w:pos="9016"/>
            </w:tabs>
            <w:rPr>
              <w:noProof/>
              <w:lang w:eastAsia="en-US"/>
            </w:rPr>
          </w:pPr>
          <w:hyperlink w:anchor="_Toc80362430" w:history="1">
            <w:r w:rsidR="00D965CF" w:rsidRPr="00816C7A">
              <w:rPr>
                <w:rStyle w:val="Hyperlink"/>
                <w:noProof/>
              </w:rPr>
              <w:t>2.1</w:t>
            </w:r>
            <w:r w:rsidR="00D965CF">
              <w:rPr>
                <w:noProof/>
                <w:lang w:eastAsia="en-US"/>
              </w:rPr>
              <w:tab/>
            </w:r>
            <w:r w:rsidR="00D965CF" w:rsidRPr="00816C7A">
              <w:rPr>
                <w:rStyle w:val="Hyperlink"/>
                <w:noProof/>
              </w:rPr>
              <w:t>Context</w:t>
            </w:r>
            <w:r w:rsidR="00D965CF">
              <w:rPr>
                <w:noProof/>
                <w:webHidden/>
              </w:rPr>
              <w:tab/>
            </w:r>
            <w:r w:rsidR="00D965CF">
              <w:rPr>
                <w:noProof/>
                <w:webHidden/>
              </w:rPr>
              <w:fldChar w:fldCharType="begin"/>
            </w:r>
            <w:r w:rsidR="00D965CF">
              <w:rPr>
                <w:noProof/>
                <w:webHidden/>
              </w:rPr>
              <w:instrText xml:space="preserve"> PAGEREF _Toc80362430 \h </w:instrText>
            </w:r>
            <w:r w:rsidR="00D965CF">
              <w:rPr>
                <w:noProof/>
                <w:webHidden/>
              </w:rPr>
            </w:r>
            <w:r w:rsidR="00D965CF">
              <w:rPr>
                <w:noProof/>
                <w:webHidden/>
              </w:rPr>
              <w:fldChar w:fldCharType="separate"/>
            </w:r>
            <w:r w:rsidR="00D965CF">
              <w:rPr>
                <w:noProof/>
                <w:webHidden/>
              </w:rPr>
              <w:t>5</w:t>
            </w:r>
            <w:r w:rsidR="00D965CF">
              <w:rPr>
                <w:noProof/>
                <w:webHidden/>
              </w:rPr>
              <w:fldChar w:fldCharType="end"/>
            </w:r>
          </w:hyperlink>
        </w:p>
        <w:p w14:paraId="4EC69A93" w14:textId="77777777" w:rsidR="00D965CF" w:rsidRDefault="00C719FD">
          <w:pPr>
            <w:pStyle w:val="TOC2"/>
            <w:tabs>
              <w:tab w:val="left" w:pos="880"/>
              <w:tab w:val="right" w:leader="dot" w:pos="9016"/>
            </w:tabs>
            <w:rPr>
              <w:noProof/>
              <w:lang w:eastAsia="en-US"/>
            </w:rPr>
          </w:pPr>
          <w:hyperlink w:anchor="_Toc80362431" w:history="1">
            <w:r w:rsidR="00D965CF" w:rsidRPr="00816C7A">
              <w:rPr>
                <w:rStyle w:val="Hyperlink"/>
                <w:noProof/>
              </w:rPr>
              <w:t>2.2</w:t>
            </w:r>
            <w:r w:rsidR="00D965CF">
              <w:rPr>
                <w:noProof/>
                <w:lang w:eastAsia="en-US"/>
              </w:rPr>
              <w:tab/>
            </w:r>
            <w:r w:rsidR="00D965CF" w:rsidRPr="00816C7A">
              <w:rPr>
                <w:rStyle w:val="Hyperlink"/>
                <w:noProof/>
              </w:rPr>
              <w:t>Definitions</w:t>
            </w:r>
            <w:r w:rsidR="00D965CF">
              <w:rPr>
                <w:noProof/>
                <w:webHidden/>
              </w:rPr>
              <w:tab/>
            </w:r>
            <w:r w:rsidR="00D965CF">
              <w:rPr>
                <w:noProof/>
                <w:webHidden/>
              </w:rPr>
              <w:fldChar w:fldCharType="begin"/>
            </w:r>
            <w:r w:rsidR="00D965CF">
              <w:rPr>
                <w:noProof/>
                <w:webHidden/>
              </w:rPr>
              <w:instrText xml:space="preserve"> PAGEREF _Toc80362431 \h </w:instrText>
            </w:r>
            <w:r w:rsidR="00D965CF">
              <w:rPr>
                <w:noProof/>
                <w:webHidden/>
              </w:rPr>
            </w:r>
            <w:r w:rsidR="00D965CF">
              <w:rPr>
                <w:noProof/>
                <w:webHidden/>
              </w:rPr>
              <w:fldChar w:fldCharType="separate"/>
            </w:r>
            <w:r w:rsidR="00D965CF">
              <w:rPr>
                <w:noProof/>
                <w:webHidden/>
              </w:rPr>
              <w:t>5</w:t>
            </w:r>
            <w:r w:rsidR="00D965CF">
              <w:rPr>
                <w:noProof/>
                <w:webHidden/>
              </w:rPr>
              <w:fldChar w:fldCharType="end"/>
            </w:r>
          </w:hyperlink>
        </w:p>
        <w:p w14:paraId="3424CD06" w14:textId="77777777" w:rsidR="00D965CF" w:rsidRDefault="00C719FD">
          <w:pPr>
            <w:pStyle w:val="TOC3"/>
            <w:tabs>
              <w:tab w:val="left" w:pos="1320"/>
              <w:tab w:val="right" w:leader="dot" w:pos="9016"/>
            </w:tabs>
            <w:rPr>
              <w:noProof/>
              <w:lang w:eastAsia="en-US"/>
            </w:rPr>
          </w:pPr>
          <w:hyperlink w:anchor="_Toc80362432" w:history="1">
            <w:r w:rsidR="00D965CF" w:rsidRPr="00816C7A">
              <w:rPr>
                <w:rStyle w:val="Hyperlink"/>
                <w:noProof/>
              </w:rPr>
              <w:t>2.2.1</w:t>
            </w:r>
            <w:r w:rsidR="00D965CF">
              <w:rPr>
                <w:noProof/>
                <w:lang w:eastAsia="en-US"/>
              </w:rPr>
              <w:tab/>
            </w:r>
            <w:r w:rsidR="00D965CF" w:rsidRPr="00816C7A">
              <w:rPr>
                <w:rStyle w:val="Hyperlink"/>
                <w:noProof/>
              </w:rPr>
              <w:t>Purchased goods and services</w:t>
            </w:r>
            <w:r w:rsidR="00D965CF">
              <w:rPr>
                <w:noProof/>
                <w:webHidden/>
              </w:rPr>
              <w:tab/>
            </w:r>
            <w:r w:rsidR="00D965CF">
              <w:rPr>
                <w:noProof/>
                <w:webHidden/>
              </w:rPr>
              <w:fldChar w:fldCharType="begin"/>
            </w:r>
            <w:r w:rsidR="00D965CF">
              <w:rPr>
                <w:noProof/>
                <w:webHidden/>
              </w:rPr>
              <w:instrText xml:space="preserve"> PAGEREF _Toc80362432 \h </w:instrText>
            </w:r>
            <w:r w:rsidR="00D965CF">
              <w:rPr>
                <w:noProof/>
                <w:webHidden/>
              </w:rPr>
            </w:r>
            <w:r w:rsidR="00D965CF">
              <w:rPr>
                <w:noProof/>
                <w:webHidden/>
              </w:rPr>
              <w:fldChar w:fldCharType="separate"/>
            </w:r>
            <w:r w:rsidR="00D965CF">
              <w:rPr>
                <w:noProof/>
                <w:webHidden/>
              </w:rPr>
              <w:t>5</w:t>
            </w:r>
            <w:r w:rsidR="00D965CF">
              <w:rPr>
                <w:noProof/>
                <w:webHidden/>
              </w:rPr>
              <w:fldChar w:fldCharType="end"/>
            </w:r>
          </w:hyperlink>
        </w:p>
        <w:p w14:paraId="02DA2DEF" w14:textId="77777777" w:rsidR="00D965CF" w:rsidRDefault="00C719FD">
          <w:pPr>
            <w:pStyle w:val="TOC3"/>
            <w:tabs>
              <w:tab w:val="left" w:pos="1320"/>
              <w:tab w:val="right" w:leader="dot" w:pos="9016"/>
            </w:tabs>
            <w:rPr>
              <w:noProof/>
              <w:lang w:eastAsia="en-US"/>
            </w:rPr>
          </w:pPr>
          <w:hyperlink w:anchor="_Toc80362433" w:history="1">
            <w:r w:rsidR="00D965CF" w:rsidRPr="00816C7A">
              <w:rPr>
                <w:rStyle w:val="Hyperlink"/>
                <w:noProof/>
              </w:rPr>
              <w:t>2.2.2</w:t>
            </w:r>
            <w:r w:rsidR="00D965CF">
              <w:rPr>
                <w:noProof/>
                <w:lang w:eastAsia="en-US"/>
              </w:rPr>
              <w:tab/>
            </w:r>
            <w:r w:rsidR="00D965CF" w:rsidRPr="00816C7A">
              <w:rPr>
                <w:rStyle w:val="Hyperlink"/>
                <w:noProof/>
              </w:rPr>
              <w:t>Capital goods</w:t>
            </w:r>
            <w:r w:rsidR="00D965CF">
              <w:rPr>
                <w:noProof/>
                <w:webHidden/>
              </w:rPr>
              <w:tab/>
            </w:r>
            <w:r w:rsidR="00D965CF">
              <w:rPr>
                <w:noProof/>
                <w:webHidden/>
              </w:rPr>
              <w:fldChar w:fldCharType="begin"/>
            </w:r>
            <w:r w:rsidR="00D965CF">
              <w:rPr>
                <w:noProof/>
                <w:webHidden/>
              </w:rPr>
              <w:instrText xml:space="preserve"> PAGEREF _Toc80362433 \h </w:instrText>
            </w:r>
            <w:r w:rsidR="00D965CF">
              <w:rPr>
                <w:noProof/>
                <w:webHidden/>
              </w:rPr>
            </w:r>
            <w:r w:rsidR="00D965CF">
              <w:rPr>
                <w:noProof/>
                <w:webHidden/>
              </w:rPr>
              <w:fldChar w:fldCharType="separate"/>
            </w:r>
            <w:r w:rsidR="00D965CF">
              <w:rPr>
                <w:noProof/>
                <w:webHidden/>
              </w:rPr>
              <w:t>6</w:t>
            </w:r>
            <w:r w:rsidR="00D965CF">
              <w:rPr>
                <w:noProof/>
                <w:webHidden/>
              </w:rPr>
              <w:fldChar w:fldCharType="end"/>
            </w:r>
          </w:hyperlink>
        </w:p>
        <w:p w14:paraId="0720D9A2" w14:textId="77777777" w:rsidR="00D965CF" w:rsidRDefault="00C719FD">
          <w:pPr>
            <w:pStyle w:val="TOC1"/>
            <w:tabs>
              <w:tab w:val="left" w:pos="440"/>
              <w:tab w:val="right" w:leader="dot" w:pos="9016"/>
            </w:tabs>
            <w:rPr>
              <w:noProof/>
              <w:lang w:eastAsia="en-US"/>
            </w:rPr>
          </w:pPr>
          <w:hyperlink w:anchor="_Toc80362434" w:history="1">
            <w:r w:rsidR="00D965CF" w:rsidRPr="00816C7A">
              <w:rPr>
                <w:rStyle w:val="Hyperlink"/>
                <w:noProof/>
              </w:rPr>
              <w:t>3</w:t>
            </w:r>
            <w:r w:rsidR="00D965CF">
              <w:rPr>
                <w:noProof/>
                <w:lang w:eastAsia="en-US"/>
              </w:rPr>
              <w:tab/>
            </w:r>
            <w:r w:rsidR="00D965CF" w:rsidRPr="00816C7A">
              <w:rPr>
                <w:rStyle w:val="Hyperlink"/>
                <w:noProof/>
              </w:rPr>
              <w:t>Methodology overview</w:t>
            </w:r>
            <w:r w:rsidR="00D965CF">
              <w:rPr>
                <w:noProof/>
                <w:webHidden/>
              </w:rPr>
              <w:tab/>
            </w:r>
            <w:r w:rsidR="00D965CF">
              <w:rPr>
                <w:noProof/>
                <w:webHidden/>
              </w:rPr>
              <w:fldChar w:fldCharType="begin"/>
            </w:r>
            <w:r w:rsidR="00D965CF">
              <w:rPr>
                <w:noProof/>
                <w:webHidden/>
              </w:rPr>
              <w:instrText xml:space="preserve"> PAGEREF _Toc80362434 \h </w:instrText>
            </w:r>
            <w:r w:rsidR="00D965CF">
              <w:rPr>
                <w:noProof/>
                <w:webHidden/>
              </w:rPr>
            </w:r>
            <w:r w:rsidR="00D965CF">
              <w:rPr>
                <w:noProof/>
                <w:webHidden/>
              </w:rPr>
              <w:fldChar w:fldCharType="separate"/>
            </w:r>
            <w:r w:rsidR="00D965CF">
              <w:rPr>
                <w:noProof/>
                <w:webHidden/>
              </w:rPr>
              <w:t>7</w:t>
            </w:r>
            <w:r w:rsidR="00D965CF">
              <w:rPr>
                <w:noProof/>
                <w:webHidden/>
              </w:rPr>
              <w:fldChar w:fldCharType="end"/>
            </w:r>
          </w:hyperlink>
        </w:p>
        <w:p w14:paraId="1249CAFD" w14:textId="77777777" w:rsidR="00D965CF" w:rsidRDefault="00C719FD">
          <w:pPr>
            <w:pStyle w:val="TOC2"/>
            <w:tabs>
              <w:tab w:val="left" w:pos="880"/>
              <w:tab w:val="right" w:leader="dot" w:pos="9016"/>
            </w:tabs>
            <w:rPr>
              <w:noProof/>
              <w:lang w:eastAsia="en-US"/>
            </w:rPr>
          </w:pPr>
          <w:hyperlink w:anchor="_Toc80362435" w:history="1">
            <w:r w:rsidR="00D965CF" w:rsidRPr="00816C7A">
              <w:rPr>
                <w:rStyle w:val="Hyperlink"/>
                <w:noProof/>
              </w:rPr>
              <w:t>3.1</w:t>
            </w:r>
            <w:r w:rsidR="00D965CF">
              <w:rPr>
                <w:noProof/>
                <w:lang w:eastAsia="en-US"/>
              </w:rPr>
              <w:tab/>
            </w:r>
            <w:r w:rsidR="00D965CF" w:rsidRPr="00816C7A">
              <w:rPr>
                <w:rStyle w:val="Hyperlink"/>
                <w:noProof/>
              </w:rPr>
              <w:t>Available approaches</w:t>
            </w:r>
            <w:r w:rsidR="00D965CF">
              <w:rPr>
                <w:noProof/>
                <w:webHidden/>
              </w:rPr>
              <w:tab/>
            </w:r>
            <w:r w:rsidR="00D965CF">
              <w:rPr>
                <w:noProof/>
                <w:webHidden/>
              </w:rPr>
              <w:fldChar w:fldCharType="begin"/>
            </w:r>
            <w:r w:rsidR="00D965CF">
              <w:rPr>
                <w:noProof/>
                <w:webHidden/>
              </w:rPr>
              <w:instrText xml:space="preserve"> PAGEREF _Toc80362435 \h </w:instrText>
            </w:r>
            <w:r w:rsidR="00D965CF">
              <w:rPr>
                <w:noProof/>
                <w:webHidden/>
              </w:rPr>
            </w:r>
            <w:r w:rsidR="00D965CF">
              <w:rPr>
                <w:noProof/>
                <w:webHidden/>
              </w:rPr>
              <w:fldChar w:fldCharType="separate"/>
            </w:r>
            <w:r w:rsidR="00D965CF">
              <w:rPr>
                <w:noProof/>
                <w:webHidden/>
              </w:rPr>
              <w:t>7</w:t>
            </w:r>
            <w:r w:rsidR="00D965CF">
              <w:rPr>
                <w:noProof/>
                <w:webHidden/>
              </w:rPr>
              <w:fldChar w:fldCharType="end"/>
            </w:r>
          </w:hyperlink>
        </w:p>
        <w:p w14:paraId="33FCF9AF" w14:textId="77777777" w:rsidR="00D965CF" w:rsidRDefault="00C719FD">
          <w:pPr>
            <w:pStyle w:val="TOC2"/>
            <w:tabs>
              <w:tab w:val="left" w:pos="880"/>
              <w:tab w:val="right" w:leader="dot" w:pos="9016"/>
            </w:tabs>
            <w:rPr>
              <w:noProof/>
              <w:lang w:eastAsia="en-US"/>
            </w:rPr>
          </w:pPr>
          <w:hyperlink w:anchor="_Toc80362436" w:history="1">
            <w:r w:rsidR="00D965CF" w:rsidRPr="00816C7A">
              <w:rPr>
                <w:rStyle w:val="Hyperlink"/>
                <w:noProof/>
              </w:rPr>
              <w:t>3.2</w:t>
            </w:r>
            <w:r w:rsidR="00D965CF">
              <w:rPr>
                <w:noProof/>
                <w:lang w:eastAsia="en-US"/>
              </w:rPr>
              <w:tab/>
            </w:r>
            <w:r w:rsidR="00D965CF" w:rsidRPr="00816C7A">
              <w:rPr>
                <w:rStyle w:val="Hyperlink"/>
                <w:noProof/>
              </w:rPr>
              <w:t>Main features of the methodology</w:t>
            </w:r>
            <w:r w:rsidR="00D965CF">
              <w:rPr>
                <w:noProof/>
                <w:webHidden/>
              </w:rPr>
              <w:tab/>
            </w:r>
            <w:r w:rsidR="00D965CF">
              <w:rPr>
                <w:noProof/>
                <w:webHidden/>
              </w:rPr>
              <w:fldChar w:fldCharType="begin"/>
            </w:r>
            <w:r w:rsidR="00D965CF">
              <w:rPr>
                <w:noProof/>
                <w:webHidden/>
              </w:rPr>
              <w:instrText xml:space="preserve"> PAGEREF _Toc80362436 \h </w:instrText>
            </w:r>
            <w:r w:rsidR="00D965CF">
              <w:rPr>
                <w:noProof/>
                <w:webHidden/>
              </w:rPr>
            </w:r>
            <w:r w:rsidR="00D965CF">
              <w:rPr>
                <w:noProof/>
                <w:webHidden/>
              </w:rPr>
              <w:fldChar w:fldCharType="separate"/>
            </w:r>
            <w:r w:rsidR="00D965CF">
              <w:rPr>
                <w:noProof/>
                <w:webHidden/>
              </w:rPr>
              <w:t>8</w:t>
            </w:r>
            <w:r w:rsidR="00D965CF">
              <w:rPr>
                <w:noProof/>
                <w:webHidden/>
              </w:rPr>
              <w:fldChar w:fldCharType="end"/>
            </w:r>
          </w:hyperlink>
        </w:p>
        <w:p w14:paraId="0B03787F" w14:textId="77777777" w:rsidR="00D965CF" w:rsidRDefault="00C719FD">
          <w:pPr>
            <w:pStyle w:val="TOC2"/>
            <w:tabs>
              <w:tab w:val="left" w:pos="880"/>
              <w:tab w:val="right" w:leader="dot" w:pos="9016"/>
            </w:tabs>
            <w:rPr>
              <w:noProof/>
              <w:lang w:eastAsia="en-US"/>
            </w:rPr>
          </w:pPr>
          <w:hyperlink w:anchor="_Toc80362437" w:history="1">
            <w:r w:rsidR="00D965CF" w:rsidRPr="00816C7A">
              <w:rPr>
                <w:rStyle w:val="Hyperlink"/>
                <w:noProof/>
              </w:rPr>
              <w:t>3.3</w:t>
            </w:r>
            <w:r w:rsidR="00D965CF">
              <w:rPr>
                <w:noProof/>
                <w:lang w:eastAsia="en-US"/>
              </w:rPr>
              <w:tab/>
            </w:r>
            <w:r w:rsidR="00D965CF" w:rsidRPr="00816C7A">
              <w:rPr>
                <w:rStyle w:val="Hyperlink"/>
                <w:noProof/>
              </w:rPr>
              <w:t>Purchased Goods &amp; Services categories for the purpose of GHG accounting</w:t>
            </w:r>
            <w:r w:rsidR="00D965CF">
              <w:rPr>
                <w:noProof/>
                <w:webHidden/>
              </w:rPr>
              <w:tab/>
            </w:r>
            <w:r w:rsidR="00D965CF">
              <w:rPr>
                <w:noProof/>
                <w:webHidden/>
              </w:rPr>
              <w:fldChar w:fldCharType="begin"/>
            </w:r>
            <w:r w:rsidR="00D965CF">
              <w:rPr>
                <w:noProof/>
                <w:webHidden/>
              </w:rPr>
              <w:instrText xml:space="preserve"> PAGEREF _Toc80362437 \h </w:instrText>
            </w:r>
            <w:r w:rsidR="00D965CF">
              <w:rPr>
                <w:noProof/>
                <w:webHidden/>
              </w:rPr>
            </w:r>
            <w:r w:rsidR="00D965CF">
              <w:rPr>
                <w:noProof/>
                <w:webHidden/>
              </w:rPr>
              <w:fldChar w:fldCharType="separate"/>
            </w:r>
            <w:r w:rsidR="00D965CF">
              <w:rPr>
                <w:noProof/>
                <w:webHidden/>
              </w:rPr>
              <w:t>8</w:t>
            </w:r>
            <w:r w:rsidR="00D965CF">
              <w:rPr>
                <w:noProof/>
                <w:webHidden/>
              </w:rPr>
              <w:fldChar w:fldCharType="end"/>
            </w:r>
          </w:hyperlink>
        </w:p>
        <w:p w14:paraId="1F3247AA" w14:textId="77777777" w:rsidR="00D965CF" w:rsidRDefault="00C719FD">
          <w:pPr>
            <w:pStyle w:val="TOC2"/>
            <w:tabs>
              <w:tab w:val="left" w:pos="880"/>
              <w:tab w:val="right" w:leader="dot" w:pos="9016"/>
            </w:tabs>
            <w:rPr>
              <w:noProof/>
              <w:lang w:eastAsia="en-US"/>
            </w:rPr>
          </w:pPr>
          <w:hyperlink w:anchor="_Toc80362438" w:history="1">
            <w:r w:rsidR="00D965CF" w:rsidRPr="00816C7A">
              <w:rPr>
                <w:rStyle w:val="Hyperlink"/>
                <w:noProof/>
              </w:rPr>
              <w:t>3.4</w:t>
            </w:r>
            <w:r w:rsidR="00D965CF">
              <w:rPr>
                <w:noProof/>
                <w:lang w:eastAsia="en-US"/>
              </w:rPr>
              <w:tab/>
            </w:r>
            <w:r w:rsidR="00D965CF" w:rsidRPr="00816C7A">
              <w:rPr>
                <w:rStyle w:val="Hyperlink"/>
                <w:noProof/>
              </w:rPr>
              <w:t>Capital Goods categories for the purpose of GHG accounting</w:t>
            </w:r>
            <w:r w:rsidR="00D965CF">
              <w:rPr>
                <w:noProof/>
                <w:webHidden/>
              </w:rPr>
              <w:tab/>
            </w:r>
            <w:r w:rsidR="00D965CF">
              <w:rPr>
                <w:noProof/>
                <w:webHidden/>
              </w:rPr>
              <w:fldChar w:fldCharType="begin"/>
            </w:r>
            <w:r w:rsidR="00D965CF">
              <w:rPr>
                <w:noProof/>
                <w:webHidden/>
              </w:rPr>
              <w:instrText xml:space="preserve"> PAGEREF _Toc80362438 \h </w:instrText>
            </w:r>
            <w:r w:rsidR="00D965CF">
              <w:rPr>
                <w:noProof/>
                <w:webHidden/>
              </w:rPr>
            </w:r>
            <w:r w:rsidR="00D965CF">
              <w:rPr>
                <w:noProof/>
                <w:webHidden/>
              </w:rPr>
              <w:fldChar w:fldCharType="separate"/>
            </w:r>
            <w:r w:rsidR="00D965CF">
              <w:rPr>
                <w:noProof/>
                <w:webHidden/>
              </w:rPr>
              <w:t>9</w:t>
            </w:r>
            <w:r w:rsidR="00D965CF">
              <w:rPr>
                <w:noProof/>
                <w:webHidden/>
              </w:rPr>
              <w:fldChar w:fldCharType="end"/>
            </w:r>
          </w:hyperlink>
        </w:p>
        <w:p w14:paraId="66F40455" w14:textId="77777777" w:rsidR="00D965CF" w:rsidRDefault="00C719FD">
          <w:pPr>
            <w:pStyle w:val="TOC1"/>
            <w:tabs>
              <w:tab w:val="left" w:pos="440"/>
              <w:tab w:val="right" w:leader="dot" w:pos="9016"/>
            </w:tabs>
            <w:rPr>
              <w:noProof/>
              <w:lang w:eastAsia="en-US"/>
            </w:rPr>
          </w:pPr>
          <w:hyperlink w:anchor="_Toc80362439" w:history="1">
            <w:r w:rsidR="00D965CF" w:rsidRPr="00816C7A">
              <w:rPr>
                <w:rStyle w:val="Hyperlink"/>
                <w:noProof/>
              </w:rPr>
              <w:t>4</w:t>
            </w:r>
            <w:r w:rsidR="00D965CF">
              <w:rPr>
                <w:noProof/>
                <w:lang w:eastAsia="en-US"/>
              </w:rPr>
              <w:tab/>
            </w:r>
            <w:r w:rsidR="00D965CF" w:rsidRPr="00816C7A">
              <w:rPr>
                <w:rStyle w:val="Hyperlink"/>
                <w:noProof/>
              </w:rPr>
              <w:t>Step-by-step guide</w:t>
            </w:r>
            <w:r w:rsidR="00D965CF">
              <w:rPr>
                <w:noProof/>
                <w:webHidden/>
              </w:rPr>
              <w:tab/>
            </w:r>
            <w:r w:rsidR="00D965CF">
              <w:rPr>
                <w:noProof/>
                <w:webHidden/>
              </w:rPr>
              <w:fldChar w:fldCharType="begin"/>
            </w:r>
            <w:r w:rsidR="00D965CF">
              <w:rPr>
                <w:noProof/>
                <w:webHidden/>
              </w:rPr>
              <w:instrText xml:space="preserve"> PAGEREF _Toc80362439 \h </w:instrText>
            </w:r>
            <w:r w:rsidR="00D965CF">
              <w:rPr>
                <w:noProof/>
                <w:webHidden/>
              </w:rPr>
            </w:r>
            <w:r w:rsidR="00D965CF">
              <w:rPr>
                <w:noProof/>
                <w:webHidden/>
              </w:rPr>
              <w:fldChar w:fldCharType="separate"/>
            </w:r>
            <w:r w:rsidR="00D965CF">
              <w:rPr>
                <w:noProof/>
                <w:webHidden/>
              </w:rPr>
              <w:t>10</w:t>
            </w:r>
            <w:r w:rsidR="00D965CF">
              <w:rPr>
                <w:noProof/>
                <w:webHidden/>
              </w:rPr>
              <w:fldChar w:fldCharType="end"/>
            </w:r>
          </w:hyperlink>
        </w:p>
        <w:p w14:paraId="3A572295" w14:textId="77777777" w:rsidR="00D965CF" w:rsidRDefault="00C719FD">
          <w:pPr>
            <w:pStyle w:val="TOC2"/>
            <w:tabs>
              <w:tab w:val="left" w:pos="880"/>
              <w:tab w:val="right" w:leader="dot" w:pos="9016"/>
            </w:tabs>
            <w:rPr>
              <w:noProof/>
              <w:lang w:eastAsia="en-US"/>
            </w:rPr>
          </w:pPr>
          <w:hyperlink w:anchor="_Toc80362440" w:history="1">
            <w:r w:rsidR="00D965CF" w:rsidRPr="00816C7A">
              <w:rPr>
                <w:rStyle w:val="Hyperlink"/>
                <w:noProof/>
              </w:rPr>
              <w:t>4.1</w:t>
            </w:r>
            <w:r w:rsidR="00D965CF">
              <w:rPr>
                <w:noProof/>
                <w:lang w:eastAsia="en-US"/>
              </w:rPr>
              <w:tab/>
            </w:r>
            <w:r w:rsidR="00D965CF" w:rsidRPr="00816C7A">
              <w:rPr>
                <w:rStyle w:val="Hyperlink"/>
                <w:noProof/>
              </w:rPr>
              <w:t>Getting familiar with the tool – “Read me” sheet</w:t>
            </w:r>
            <w:r w:rsidR="00D965CF">
              <w:rPr>
                <w:noProof/>
                <w:webHidden/>
              </w:rPr>
              <w:tab/>
            </w:r>
            <w:r w:rsidR="00D965CF">
              <w:rPr>
                <w:noProof/>
                <w:webHidden/>
              </w:rPr>
              <w:fldChar w:fldCharType="begin"/>
            </w:r>
            <w:r w:rsidR="00D965CF">
              <w:rPr>
                <w:noProof/>
                <w:webHidden/>
              </w:rPr>
              <w:instrText xml:space="preserve"> PAGEREF _Toc80362440 \h </w:instrText>
            </w:r>
            <w:r w:rsidR="00D965CF">
              <w:rPr>
                <w:noProof/>
                <w:webHidden/>
              </w:rPr>
            </w:r>
            <w:r w:rsidR="00D965CF">
              <w:rPr>
                <w:noProof/>
                <w:webHidden/>
              </w:rPr>
              <w:fldChar w:fldCharType="separate"/>
            </w:r>
            <w:r w:rsidR="00D965CF">
              <w:rPr>
                <w:noProof/>
                <w:webHidden/>
              </w:rPr>
              <w:t>10</w:t>
            </w:r>
            <w:r w:rsidR="00D965CF">
              <w:rPr>
                <w:noProof/>
                <w:webHidden/>
              </w:rPr>
              <w:fldChar w:fldCharType="end"/>
            </w:r>
          </w:hyperlink>
        </w:p>
        <w:p w14:paraId="3BD68D4A" w14:textId="77777777" w:rsidR="00D965CF" w:rsidRDefault="00C719FD">
          <w:pPr>
            <w:pStyle w:val="TOC2"/>
            <w:tabs>
              <w:tab w:val="left" w:pos="880"/>
              <w:tab w:val="right" w:leader="dot" w:pos="9016"/>
            </w:tabs>
            <w:rPr>
              <w:noProof/>
              <w:lang w:eastAsia="en-US"/>
            </w:rPr>
          </w:pPr>
          <w:hyperlink w:anchor="_Toc80362441" w:history="1">
            <w:r w:rsidR="00D965CF" w:rsidRPr="00816C7A">
              <w:rPr>
                <w:rStyle w:val="Hyperlink"/>
                <w:noProof/>
              </w:rPr>
              <w:t>4.2</w:t>
            </w:r>
            <w:r w:rsidR="00D965CF">
              <w:rPr>
                <w:noProof/>
                <w:lang w:eastAsia="en-US"/>
              </w:rPr>
              <w:tab/>
            </w:r>
            <w:r w:rsidR="00D965CF" w:rsidRPr="00816C7A">
              <w:rPr>
                <w:rStyle w:val="Hyperlink"/>
                <w:noProof/>
              </w:rPr>
              <w:t>Identifying the relevant assessment approach – “Decision tree” sheet -</w:t>
            </w:r>
            <w:r w:rsidR="00D965CF">
              <w:rPr>
                <w:noProof/>
                <w:webHidden/>
              </w:rPr>
              <w:tab/>
            </w:r>
            <w:r w:rsidR="00D965CF">
              <w:rPr>
                <w:noProof/>
                <w:webHidden/>
              </w:rPr>
              <w:fldChar w:fldCharType="begin"/>
            </w:r>
            <w:r w:rsidR="00D965CF">
              <w:rPr>
                <w:noProof/>
                <w:webHidden/>
              </w:rPr>
              <w:instrText xml:space="preserve"> PAGEREF _Toc80362441 \h </w:instrText>
            </w:r>
            <w:r w:rsidR="00D965CF">
              <w:rPr>
                <w:noProof/>
                <w:webHidden/>
              </w:rPr>
            </w:r>
            <w:r w:rsidR="00D965CF">
              <w:rPr>
                <w:noProof/>
                <w:webHidden/>
              </w:rPr>
              <w:fldChar w:fldCharType="separate"/>
            </w:r>
            <w:r w:rsidR="00D965CF">
              <w:rPr>
                <w:noProof/>
                <w:webHidden/>
              </w:rPr>
              <w:t>10</w:t>
            </w:r>
            <w:r w:rsidR="00D965CF">
              <w:rPr>
                <w:noProof/>
                <w:webHidden/>
              </w:rPr>
              <w:fldChar w:fldCharType="end"/>
            </w:r>
          </w:hyperlink>
        </w:p>
        <w:p w14:paraId="30F71D96" w14:textId="77777777" w:rsidR="00D965CF" w:rsidRDefault="00C719FD">
          <w:pPr>
            <w:pStyle w:val="TOC2"/>
            <w:tabs>
              <w:tab w:val="left" w:pos="880"/>
              <w:tab w:val="right" w:leader="dot" w:pos="9016"/>
            </w:tabs>
            <w:rPr>
              <w:noProof/>
              <w:lang w:eastAsia="en-US"/>
            </w:rPr>
          </w:pPr>
          <w:hyperlink w:anchor="_Toc80362442" w:history="1">
            <w:r w:rsidR="00D965CF" w:rsidRPr="00816C7A">
              <w:rPr>
                <w:rStyle w:val="Hyperlink"/>
                <w:noProof/>
              </w:rPr>
              <w:t>4.3</w:t>
            </w:r>
            <w:r w:rsidR="00D965CF">
              <w:rPr>
                <w:noProof/>
                <w:lang w:eastAsia="en-US"/>
              </w:rPr>
              <w:tab/>
            </w:r>
            <w:r w:rsidR="00D965CF" w:rsidRPr="00816C7A">
              <w:rPr>
                <w:rStyle w:val="Hyperlink"/>
                <w:noProof/>
              </w:rPr>
              <w:t>Data collection</w:t>
            </w:r>
            <w:r w:rsidR="00D965CF">
              <w:rPr>
                <w:noProof/>
                <w:webHidden/>
              </w:rPr>
              <w:tab/>
            </w:r>
            <w:r w:rsidR="00D965CF">
              <w:rPr>
                <w:noProof/>
                <w:webHidden/>
              </w:rPr>
              <w:fldChar w:fldCharType="begin"/>
            </w:r>
            <w:r w:rsidR="00D965CF">
              <w:rPr>
                <w:noProof/>
                <w:webHidden/>
              </w:rPr>
              <w:instrText xml:space="preserve"> PAGEREF _Toc80362442 \h </w:instrText>
            </w:r>
            <w:r w:rsidR="00D965CF">
              <w:rPr>
                <w:noProof/>
                <w:webHidden/>
              </w:rPr>
            </w:r>
            <w:r w:rsidR="00D965CF">
              <w:rPr>
                <w:noProof/>
                <w:webHidden/>
              </w:rPr>
              <w:fldChar w:fldCharType="separate"/>
            </w:r>
            <w:r w:rsidR="00D965CF">
              <w:rPr>
                <w:noProof/>
                <w:webHidden/>
              </w:rPr>
              <w:t>11</w:t>
            </w:r>
            <w:r w:rsidR="00D965CF">
              <w:rPr>
                <w:noProof/>
                <w:webHidden/>
              </w:rPr>
              <w:fldChar w:fldCharType="end"/>
            </w:r>
          </w:hyperlink>
        </w:p>
        <w:p w14:paraId="1336C4D5" w14:textId="77777777" w:rsidR="00D965CF" w:rsidRDefault="00C719FD">
          <w:pPr>
            <w:pStyle w:val="TOC3"/>
            <w:tabs>
              <w:tab w:val="left" w:pos="1320"/>
              <w:tab w:val="right" w:leader="dot" w:pos="9016"/>
            </w:tabs>
            <w:rPr>
              <w:noProof/>
              <w:lang w:eastAsia="en-US"/>
            </w:rPr>
          </w:pPr>
          <w:hyperlink w:anchor="_Toc80362443" w:history="1">
            <w:r w:rsidR="00D965CF" w:rsidRPr="00816C7A">
              <w:rPr>
                <w:rStyle w:val="Hyperlink"/>
                <w:noProof/>
              </w:rPr>
              <w:t>4.3.1</w:t>
            </w:r>
            <w:r w:rsidR="00D965CF">
              <w:rPr>
                <w:noProof/>
                <w:lang w:eastAsia="en-US"/>
              </w:rPr>
              <w:tab/>
            </w:r>
            <w:r w:rsidR="00D965CF" w:rsidRPr="00816C7A">
              <w:rPr>
                <w:rStyle w:val="Hyperlink"/>
                <w:noProof/>
              </w:rPr>
              <w:t>Identifying data source</w:t>
            </w:r>
            <w:r w:rsidR="00D965CF">
              <w:rPr>
                <w:noProof/>
                <w:webHidden/>
              </w:rPr>
              <w:tab/>
            </w:r>
            <w:r w:rsidR="00D965CF">
              <w:rPr>
                <w:noProof/>
                <w:webHidden/>
              </w:rPr>
              <w:fldChar w:fldCharType="begin"/>
            </w:r>
            <w:r w:rsidR="00D965CF">
              <w:rPr>
                <w:noProof/>
                <w:webHidden/>
              </w:rPr>
              <w:instrText xml:space="preserve"> PAGEREF _Toc80362443 \h </w:instrText>
            </w:r>
            <w:r w:rsidR="00D965CF">
              <w:rPr>
                <w:noProof/>
                <w:webHidden/>
              </w:rPr>
            </w:r>
            <w:r w:rsidR="00D965CF">
              <w:rPr>
                <w:noProof/>
                <w:webHidden/>
              </w:rPr>
              <w:fldChar w:fldCharType="separate"/>
            </w:r>
            <w:r w:rsidR="00D965CF">
              <w:rPr>
                <w:noProof/>
                <w:webHidden/>
              </w:rPr>
              <w:t>11</w:t>
            </w:r>
            <w:r w:rsidR="00D965CF">
              <w:rPr>
                <w:noProof/>
                <w:webHidden/>
              </w:rPr>
              <w:fldChar w:fldCharType="end"/>
            </w:r>
          </w:hyperlink>
        </w:p>
        <w:p w14:paraId="3729E1D7" w14:textId="77777777" w:rsidR="00D965CF" w:rsidRDefault="00C719FD">
          <w:pPr>
            <w:pStyle w:val="TOC3"/>
            <w:tabs>
              <w:tab w:val="left" w:pos="1320"/>
              <w:tab w:val="right" w:leader="dot" w:pos="9016"/>
            </w:tabs>
            <w:rPr>
              <w:noProof/>
              <w:lang w:eastAsia="en-US"/>
            </w:rPr>
          </w:pPr>
          <w:hyperlink w:anchor="_Toc80362444" w:history="1">
            <w:r w:rsidR="00D965CF" w:rsidRPr="00816C7A">
              <w:rPr>
                <w:rStyle w:val="Hyperlink"/>
                <w:noProof/>
              </w:rPr>
              <w:t>4.3.2</w:t>
            </w:r>
            <w:r w:rsidR="00D965CF">
              <w:rPr>
                <w:noProof/>
                <w:lang w:eastAsia="en-US"/>
              </w:rPr>
              <w:tab/>
            </w:r>
            <w:r w:rsidR="00D965CF" w:rsidRPr="00816C7A">
              <w:rPr>
                <w:rStyle w:val="Hyperlink"/>
                <w:noProof/>
              </w:rPr>
              <w:t>Ensuring materiality in data collection</w:t>
            </w:r>
            <w:r w:rsidR="00D965CF">
              <w:rPr>
                <w:noProof/>
                <w:webHidden/>
              </w:rPr>
              <w:tab/>
            </w:r>
            <w:r w:rsidR="00D965CF">
              <w:rPr>
                <w:noProof/>
                <w:webHidden/>
              </w:rPr>
              <w:fldChar w:fldCharType="begin"/>
            </w:r>
            <w:r w:rsidR="00D965CF">
              <w:rPr>
                <w:noProof/>
                <w:webHidden/>
              </w:rPr>
              <w:instrText xml:space="preserve"> PAGEREF _Toc80362444 \h </w:instrText>
            </w:r>
            <w:r w:rsidR="00D965CF">
              <w:rPr>
                <w:noProof/>
                <w:webHidden/>
              </w:rPr>
            </w:r>
            <w:r w:rsidR="00D965CF">
              <w:rPr>
                <w:noProof/>
                <w:webHidden/>
              </w:rPr>
              <w:fldChar w:fldCharType="separate"/>
            </w:r>
            <w:r w:rsidR="00D965CF">
              <w:rPr>
                <w:noProof/>
                <w:webHidden/>
              </w:rPr>
              <w:t>11</w:t>
            </w:r>
            <w:r w:rsidR="00D965CF">
              <w:rPr>
                <w:noProof/>
                <w:webHidden/>
              </w:rPr>
              <w:fldChar w:fldCharType="end"/>
            </w:r>
          </w:hyperlink>
        </w:p>
        <w:p w14:paraId="5CC9D35D" w14:textId="77777777" w:rsidR="00D965CF" w:rsidRDefault="00C719FD">
          <w:pPr>
            <w:pStyle w:val="TOC3"/>
            <w:tabs>
              <w:tab w:val="left" w:pos="1320"/>
              <w:tab w:val="right" w:leader="dot" w:pos="9016"/>
            </w:tabs>
            <w:rPr>
              <w:noProof/>
              <w:lang w:eastAsia="en-US"/>
            </w:rPr>
          </w:pPr>
          <w:hyperlink w:anchor="_Toc80362445" w:history="1">
            <w:r w:rsidR="00D965CF" w:rsidRPr="00816C7A">
              <w:rPr>
                <w:rStyle w:val="Hyperlink"/>
                <w:noProof/>
              </w:rPr>
              <w:t>4.3.3</w:t>
            </w:r>
            <w:r w:rsidR="00D965CF">
              <w:rPr>
                <w:noProof/>
                <w:lang w:eastAsia="en-US"/>
              </w:rPr>
              <w:tab/>
            </w:r>
            <w:r w:rsidR="00D965CF" w:rsidRPr="00816C7A">
              <w:rPr>
                <w:rStyle w:val="Hyperlink"/>
                <w:noProof/>
              </w:rPr>
              <w:t>Data tracking</w:t>
            </w:r>
            <w:r w:rsidR="00D965CF">
              <w:rPr>
                <w:noProof/>
                <w:webHidden/>
              </w:rPr>
              <w:tab/>
            </w:r>
            <w:r w:rsidR="00D965CF">
              <w:rPr>
                <w:noProof/>
                <w:webHidden/>
              </w:rPr>
              <w:fldChar w:fldCharType="begin"/>
            </w:r>
            <w:r w:rsidR="00D965CF">
              <w:rPr>
                <w:noProof/>
                <w:webHidden/>
              </w:rPr>
              <w:instrText xml:space="preserve"> PAGEREF _Toc80362445 \h </w:instrText>
            </w:r>
            <w:r w:rsidR="00D965CF">
              <w:rPr>
                <w:noProof/>
                <w:webHidden/>
              </w:rPr>
            </w:r>
            <w:r w:rsidR="00D965CF">
              <w:rPr>
                <w:noProof/>
                <w:webHidden/>
              </w:rPr>
              <w:fldChar w:fldCharType="separate"/>
            </w:r>
            <w:r w:rsidR="00D965CF">
              <w:rPr>
                <w:noProof/>
                <w:webHidden/>
              </w:rPr>
              <w:t>12</w:t>
            </w:r>
            <w:r w:rsidR="00D965CF">
              <w:rPr>
                <w:noProof/>
                <w:webHidden/>
              </w:rPr>
              <w:fldChar w:fldCharType="end"/>
            </w:r>
          </w:hyperlink>
        </w:p>
        <w:p w14:paraId="45BE83F5" w14:textId="77777777" w:rsidR="00D965CF" w:rsidRDefault="00C719FD">
          <w:pPr>
            <w:pStyle w:val="TOC2"/>
            <w:tabs>
              <w:tab w:val="left" w:pos="880"/>
              <w:tab w:val="right" w:leader="dot" w:pos="9016"/>
            </w:tabs>
            <w:rPr>
              <w:noProof/>
              <w:lang w:eastAsia="en-US"/>
            </w:rPr>
          </w:pPr>
          <w:hyperlink w:anchor="_Toc80362446" w:history="1">
            <w:r w:rsidR="00D965CF" w:rsidRPr="00816C7A">
              <w:rPr>
                <w:rStyle w:val="Hyperlink"/>
                <w:noProof/>
              </w:rPr>
              <w:t>4.4</w:t>
            </w:r>
            <w:r w:rsidR="00D965CF">
              <w:rPr>
                <w:noProof/>
                <w:lang w:eastAsia="en-US"/>
              </w:rPr>
              <w:tab/>
            </w:r>
            <w:r w:rsidR="00D965CF" w:rsidRPr="00816C7A">
              <w:rPr>
                <w:rStyle w:val="Hyperlink"/>
                <w:noProof/>
              </w:rPr>
              <w:t>Filling with the inputs – “Import data” sheet</w:t>
            </w:r>
            <w:r w:rsidR="00D965CF">
              <w:rPr>
                <w:noProof/>
                <w:webHidden/>
              </w:rPr>
              <w:tab/>
            </w:r>
            <w:r w:rsidR="00D965CF">
              <w:rPr>
                <w:noProof/>
                <w:webHidden/>
              </w:rPr>
              <w:fldChar w:fldCharType="begin"/>
            </w:r>
            <w:r w:rsidR="00D965CF">
              <w:rPr>
                <w:noProof/>
                <w:webHidden/>
              </w:rPr>
              <w:instrText xml:space="preserve"> PAGEREF _Toc80362446 \h </w:instrText>
            </w:r>
            <w:r w:rsidR="00D965CF">
              <w:rPr>
                <w:noProof/>
                <w:webHidden/>
              </w:rPr>
            </w:r>
            <w:r w:rsidR="00D965CF">
              <w:rPr>
                <w:noProof/>
                <w:webHidden/>
              </w:rPr>
              <w:fldChar w:fldCharType="separate"/>
            </w:r>
            <w:r w:rsidR="00D965CF">
              <w:rPr>
                <w:noProof/>
                <w:webHidden/>
              </w:rPr>
              <w:t>12</w:t>
            </w:r>
            <w:r w:rsidR="00D965CF">
              <w:rPr>
                <w:noProof/>
                <w:webHidden/>
              </w:rPr>
              <w:fldChar w:fldCharType="end"/>
            </w:r>
          </w:hyperlink>
        </w:p>
        <w:p w14:paraId="38D91A6E" w14:textId="77777777" w:rsidR="00D965CF" w:rsidRDefault="00C719FD">
          <w:pPr>
            <w:pStyle w:val="TOC3"/>
            <w:tabs>
              <w:tab w:val="left" w:pos="1320"/>
              <w:tab w:val="right" w:leader="dot" w:pos="9016"/>
            </w:tabs>
            <w:rPr>
              <w:noProof/>
              <w:lang w:eastAsia="en-US"/>
            </w:rPr>
          </w:pPr>
          <w:hyperlink w:anchor="_Toc80362447" w:history="1">
            <w:r w:rsidR="00D965CF" w:rsidRPr="00816C7A">
              <w:rPr>
                <w:rStyle w:val="Hyperlink"/>
                <w:noProof/>
              </w:rPr>
              <w:t>4.4.1</w:t>
            </w:r>
            <w:r w:rsidR="00D965CF">
              <w:rPr>
                <w:noProof/>
                <w:lang w:eastAsia="en-US"/>
              </w:rPr>
              <w:tab/>
            </w:r>
            <w:r w:rsidR="00D965CF" w:rsidRPr="00816C7A">
              <w:rPr>
                <w:rStyle w:val="Hyperlink"/>
                <w:noProof/>
              </w:rPr>
              <w:t>Mapping categories</w:t>
            </w:r>
            <w:r w:rsidR="00D965CF">
              <w:rPr>
                <w:noProof/>
                <w:webHidden/>
              </w:rPr>
              <w:tab/>
            </w:r>
            <w:r w:rsidR="00D965CF">
              <w:rPr>
                <w:noProof/>
                <w:webHidden/>
              </w:rPr>
              <w:fldChar w:fldCharType="begin"/>
            </w:r>
            <w:r w:rsidR="00D965CF">
              <w:rPr>
                <w:noProof/>
                <w:webHidden/>
              </w:rPr>
              <w:instrText xml:space="preserve"> PAGEREF _Toc80362447 \h </w:instrText>
            </w:r>
            <w:r w:rsidR="00D965CF">
              <w:rPr>
                <w:noProof/>
                <w:webHidden/>
              </w:rPr>
            </w:r>
            <w:r w:rsidR="00D965CF">
              <w:rPr>
                <w:noProof/>
                <w:webHidden/>
              </w:rPr>
              <w:fldChar w:fldCharType="separate"/>
            </w:r>
            <w:r w:rsidR="00D965CF">
              <w:rPr>
                <w:noProof/>
                <w:webHidden/>
              </w:rPr>
              <w:t>12</w:t>
            </w:r>
            <w:r w:rsidR="00D965CF">
              <w:rPr>
                <w:noProof/>
                <w:webHidden/>
              </w:rPr>
              <w:fldChar w:fldCharType="end"/>
            </w:r>
          </w:hyperlink>
        </w:p>
        <w:p w14:paraId="7BD7D249" w14:textId="77777777" w:rsidR="00D965CF" w:rsidRDefault="00C719FD">
          <w:pPr>
            <w:pStyle w:val="TOC3"/>
            <w:tabs>
              <w:tab w:val="left" w:pos="1320"/>
              <w:tab w:val="right" w:leader="dot" w:pos="9016"/>
            </w:tabs>
            <w:rPr>
              <w:noProof/>
              <w:lang w:eastAsia="en-US"/>
            </w:rPr>
          </w:pPr>
          <w:hyperlink w:anchor="_Toc80362448" w:history="1">
            <w:r w:rsidR="00D965CF" w:rsidRPr="00816C7A">
              <w:rPr>
                <w:rStyle w:val="Hyperlink"/>
                <w:noProof/>
              </w:rPr>
              <w:t>4.4.2</w:t>
            </w:r>
            <w:r w:rsidR="00D965CF">
              <w:rPr>
                <w:noProof/>
                <w:lang w:eastAsia="en-US"/>
              </w:rPr>
              <w:tab/>
            </w:r>
            <w:r w:rsidR="00D965CF" w:rsidRPr="00816C7A">
              <w:rPr>
                <w:rStyle w:val="Hyperlink"/>
                <w:noProof/>
              </w:rPr>
              <w:t>Category and subcategory examples</w:t>
            </w:r>
            <w:r w:rsidR="00D965CF">
              <w:rPr>
                <w:noProof/>
                <w:webHidden/>
              </w:rPr>
              <w:tab/>
            </w:r>
            <w:r w:rsidR="00D965CF">
              <w:rPr>
                <w:noProof/>
                <w:webHidden/>
              </w:rPr>
              <w:fldChar w:fldCharType="begin"/>
            </w:r>
            <w:r w:rsidR="00D965CF">
              <w:rPr>
                <w:noProof/>
                <w:webHidden/>
              </w:rPr>
              <w:instrText xml:space="preserve"> PAGEREF _Toc80362448 \h </w:instrText>
            </w:r>
            <w:r w:rsidR="00D965CF">
              <w:rPr>
                <w:noProof/>
                <w:webHidden/>
              </w:rPr>
            </w:r>
            <w:r w:rsidR="00D965CF">
              <w:rPr>
                <w:noProof/>
                <w:webHidden/>
              </w:rPr>
              <w:fldChar w:fldCharType="separate"/>
            </w:r>
            <w:r w:rsidR="00D965CF">
              <w:rPr>
                <w:noProof/>
                <w:webHidden/>
              </w:rPr>
              <w:t>15</w:t>
            </w:r>
            <w:r w:rsidR="00D965CF">
              <w:rPr>
                <w:noProof/>
                <w:webHidden/>
              </w:rPr>
              <w:fldChar w:fldCharType="end"/>
            </w:r>
          </w:hyperlink>
        </w:p>
        <w:p w14:paraId="21AB430B" w14:textId="77777777" w:rsidR="00D965CF" w:rsidRDefault="00C719FD">
          <w:pPr>
            <w:pStyle w:val="TOC2"/>
            <w:tabs>
              <w:tab w:val="left" w:pos="880"/>
              <w:tab w:val="right" w:leader="dot" w:pos="9016"/>
            </w:tabs>
            <w:rPr>
              <w:noProof/>
              <w:lang w:eastAsia="en-US"/>
            </w:rPr>
          </w:pPr>
          <w:hyperlink w:anchor="_Toc80362449" w:history="1">
            <w:r w:rsidR="00D965CF" w:rsidRPr="00816C7A">
              <w:rPr>
                <w:rStyle w:val="Hyperlink"/>
                <w:noProof/>
              </w:rPr>
              <w:t>4.5</w:t>
            </w:r>
            <w:r w:rsidR="00D965CF">
              <w:rPr>
                <w:noProof/>
                <w:lang w:eastAsia="en-US"/>
              </w:rPr>
              <w:tab/>
            </w:r>
            <w:r w:rsidR="00D965CF" w:rsidRPr="00816C7A">
              <w:rPr>
                <w:rStyle w:val="Hyperlink"/>
                <w:noProof/>
              </w:rPr>
              <w:t>Back-end calculations – “GHG emissions calculation” sheet</w:t>
            </w:r>
            <w:r w:rsidR="00D965CF">
              <w:rPr>
                <w:noProof/>
                <w:webHidden/>
              </w:rPr>
              <w:tab/>
            </w:r>
            <w:r w:rsidR="00D965CF">
              <w:rPr>
                <w:noProof/>
                <w:webHidden/>
              </w:rPr>
              <w:fldChar w:fldCharType="begin"/>
            </w:r>
            <w:r w:rsidR="00D965CF">
              <w:rPr>
                <w:noProof/>
                <w:webHidden/>
              </w:rPr>
              <w:instrText xml:space="preserve"> PAGEREF _Toc80362449 \h </w:instrText>
            </w:r>
            <w:r w:rsidR="00D965CF">
              <w:rPr>
                <w:noProof/>
                <w:webHidden/>
              </w:rPr>
            </w:r>
            <w:r w:rsidR="00D965CF">
              <w:rPr>
                <w:noProof/>
                <w:webHidden/>
              </w:rPr>
              <w:fldChar w:fldCharType="separate"/>
            </w:r>
            <w:r w:rsidR="00D965CF">
              <w:rPr>
                <w:noProof/>
                <w:webHidden/>
              </w:rPr>
              <w:t>16</w:t>
            </w:r>
            <w:r w:rsidR="00D965CF">
              <w:rPr>
                <w:noProof/>
                <w:webHidden/>
              </w:rPr>
              <w:fldChar w:fldCharType="end"/>
            </w:r>
          </w:hyperlink>
        </w:p>
        <w:p w14:paraId="4237AEAC" w14:textId="77777777" w:rsidR="00D965CF" w:rsidRDefault="00C719FD">
          <w:pPr>
            <w:pStyle w:val="TOC2"/>
            <w:tabs>
              <w:tab w:val="left" w:pos="880"/>
              <w:tab w:val="right" w:leader="dot" w:pos="9016"/>
            </w:tabs>
            <w:rPr>
              <w:noProof/>
              <w:lang w:eastAsia="en-US"/>
            </w:rPr>
          </w:pPr>
          <w:hyperlink w:anchor="_Toc80362450" w:history="1">
            <w:r w:rsidR="00D965CF" w:rsidRPr="00816C7A">
              <w:rPr>
                <w:rStyle w:val="Hyperlink"/>
                <w:noProof/>
              </w:rPr>
              <w:t>4.6</w:t>
            </w:r>
            <w:r w:rsidR="00D965CF">
              <w:rPr>
                <w:noProof/>
                <w:lang w:eastAsia="en-US"/>
              </w:rPr>
              <w:tab/>
            </w:r>
            <w:r w:rsidR="00D965CF" w:rsidRPr="00816C7A">
              <w:rPr>
                <w:rStyle w:val="Hyperlink"/>
                <w:noProof/>
              </w:rPr>
              <w:t>Reviewing the results – “Results overview” sheet</w:t>
            </w:r>
            <w:r w:rsidR="00D965CF">
              <w:rPr>
                <w:noProof/>
                <w:webHidden/>
              </w:rPr>
              <w:tab/>
            </w:r>
            <w:r w:rsidR="00D965CF">
              <w:rPr>
                <w:noProof/>
                <w:webHidden/>
              </w:rPr>
              <w:fldChar w:fldCharType="begin"/>
            </w:r>
            <w:r w:rsidR="00D965CF">
              <w:rPr>
                <w:noProof/>
                <w:webHidden/>
              </w:rPr>
              <w:instrText xml:space="preserve"> PAGEREF _Toc80362450 \h </w:instrText>
            </w:r>
            <w:r w:rsidR="00D965CF">
              <w:rPr>
                <w:noProof/>
                <w:webHidden/>
              </w:rPr>
            </w:r>
            <w:r w:rsidR="00D965CF">
              <w:rPr>
                <w:noProof/>
                <w:webHidden/>
              </w:rPr>
              <w:fldChar w:fldCharType="separate"/>
            </w:r>
            <w:r w:rsidR="00D965CF">
              <w:rPr>
                <w:noProof/>
                <w:webHidden/>
              </w:rPr>
              <w:t>16</w:t>
            </w:r>
            <w:r w:rsidR="00D965CF">
              <w:rPr>
                <w:noProof/>
                <w:webHidden/>
              </w:rPr>
              <w:fldChar w:fldCharType="end"/>
            </w:r>
          </w:hyperlink>
        </w:p>
        <w:p w14:paraId="6D34E6BB" w14:textId="77777777" w:rsidR="00D965CF" w:rsidRDefault="00C719FD">
          <w:pPr>
            <w:pStyle w:val="TOC3"/>
            <w:tabs>
              <w:tab w:val="left" w:pos="1320"/>
              <w:tab w:val="right" w:leader="dot" w:pos="9016"/>
            </w:tabs>
            <w:rPr>
              <w:noProof/>
              <w:lang w:eastAsia="en-US"/>
            </w:rPr>
          </w:pPr>
          <w:hyperlink w:anchor="_Toc80362451" w:history="1">
            <w:r w:rsidR="00D965CF" w:rsidRPr="00816C7A">
              <w:rPr>
                <w:rStyle w:val="Hyperlink"/>
                <w:noProof/>
              </w:rPr>
              <w:t>4.6.1</w:t>
            </w:r>
            <w:r w:rsidR="00D965CF">
              <w:rPr>
                <w:noProof/>
                <w:lang w:eastAsia="en-US"/>
              </w:rPr>
              <w:tab/>
            </w:r>
            <w:r w:rsidR="00D965CF" w:rsidRPr="00816C7A">
              <w:rPr>
                <w:rStyle w:val="Hyperlink"/>
                <w:noProof/>
              </w:rPr>
              <w:t>Associated emissions and share of total emissions</w:t>
            </w:r>
            <w:r w:rsidR="00D965CF">
              <w:rPr>
                <w:noProof/>
                <w:webHidden/>
              </w:rPr>
              <w:tab/>
            </w:r>
            <w:r w:rsidR="00D965CF">
              <w:rPr>
                <w:noProof/>
                <w:webHidden/>
              </w:rPr>
              <w:fldChar w:fldCharType="begin"/>
            </w:r>
            <w:r w:rsidR="00D965CF">
              <w:rPr>
                <w:noProof/>
                <w:webHidden/>
              </w:rPr>
              <w:instrText xml:space="preserve"> PAGEREF _Toc80362451 \h </w:instrText>
            </w:r>
            <w:r w:rsidR="00D965CF">
              <w:rPr>
                <w:noProof/>
                <w:webHidden/>
              </w:rPr>
            </w:r>
            <w:r w:rsidR="00D965CF">
              <w:rPr>
                <w:noProof/>
                <w:webHidden/>
              </w:rPr>
              <w:fldChar w:fldCharType="separate"/>
            </w:r>
            <w:r w:rsidR="00D965CF">
              <w:rPr>
                <w:noProof/>
                <w:webHidden/>
              </w:rPr>
              <w:t>16</w:t>
            </w:r>
            <w:r w:rsidR="00D965CF">
              <w:rPr>
                <w:noProof/>
                <w:webHidden/>
              </w:rPr>
              <w:fldChar w:fldCharType="end"/>
            </w:r>
          </w:hyperlink>
        </w:p>
        <w:p w14:paraId="21848381" w14:textId="77777777" w:rsidR="00D965CF" w:rsidRDefault="00C719FD">
          <w:pPr>
            <w:pStyle w:val="TOC3"/>
            <w:tabs>
              <w:tab w:val="left" w:pos="1320"/>
              <w:tab w:val="right" w:leader="dot" w:pos="9016"/>
            </w:tabs>
            <w:rPr>
              <w:noProof/>
              <w:lang w:eastAsia="en-US"/>
            </w:rPr>
          </w:pPr>
          <w:hyperlink w:anchor="_Toc80362452" w:history="1">
            <w:r w:rsidR="00D965CF" w:rsidRPr="00816C7A">
              <w:rPr>
                <w:rStyle w:val="Hyperlink"/>
                <w:noProof/>
              </w:rPr>
              <w:t>4.6.2</w:t>
            </w:r>
            <w:r w:rsidR="00D965CF">
              <w:rPr>
                <w:noProof/>
                <w:lang w:eastAsia="en-US"/>
              </w:rPr>
              <w:tab/>
            </w:r>
            <w:r w:rsidR="00D965CF" w:rsidRPr="00816C7A">
              <w:rPr>
                <w:rStyle w:val="Hyperlink"/>
                <w:noProof/>
              </w:rPr>
              <w:t>Distribution of GHG emissions by degree of decreasing significance</w:t>
            </w:r>
            <w:r w:rsidR="00D965CF">
              <w:rPr>
                <w:noProof/>
                <w:webHidden/>
              </w:rPr>
              <w:tab/>
            </w:r>
            <w:r w:rsidR="00D965CF">
              <w:rPr>
                <w:noProof/>
                <w:webHidden/>
              </w:rPr>
              <w:fldChar w:fldCharType="begin"/>
            </w:r>
            <w:r w:rsidR="00D965CF">
              <w:rPr>
                <w:noProof/>
                <w:webHidden/>
              </w:rPr>
              <w:instrText xml:space="preserve"> PAGEREF _Toc80362452 \h </w:instrText>
            </w:r>
            <w:r w:rsidR="00D965CF">
              <w:rPr>
                <w:noProof/>
                <w:webHidden/>
              </w:rPr>
            </w:r>
            <w:r w:rsidR="00D965CF">
              <w:rPr>
                <w:noProof/>
                <w:webHidden/>
              </w:rPr>
              <w:fldChar w:fldCharType="separate"/>
            </w:r>
            <w:r w:rsidR="00D965CF">
              <w:rPr>
                <w:noProof/>
                <w:webHidden/>
              </w:rPr>
              <w:t>18</w:t>
            </w:r>
            <w:r w:rsidR="00D965CF">
              <w:rPr>
                <w:noProof/>
                <w:webHidden/>
              </w:rPr>
              <w:fldChar w:fldCharType="end"/>
            </w:r>
          </w:hyperlink>
        </w:p>
        <w:p w14:paraId="73B5B12B" w14:textId="77777777" w:rsidR="00D965CF" w:rsidRDefault="00C719FD">
          <w:pPr>
            <w:pStyle w:val="TOC1"/>
            <w:tabs>
              <w:tab w:val="left" w:pos="440"/>
              <w:tab w:val="right" w:leader="dot" w:pos="9016"/>
            </w:tabs>
            <w:rPr>
              <w:noProof/>
              <w:lang w:eastAsia="en-US"/>
            </w:rPr>
          </w:pPr>
          <w:hyperlink w:anchor="_Toc80362453" w:history="1">
            <w:r w:rsidR="00D965CF" w:rsidRPr="00816C7A">
              <w:rPr>
                <w:rStyle w:val="Hyperlink"/>
                <w:noProof/>
              </w:rPr>
              <w:t>5</w:t>
            </w:r>
            <w:r w:rsidR="00D965CF">
              <w:rPr>
                <w:noProof/>
                <w:lang w:eastAsia="en-US"/>
              </w:rPr>
              <w:tab/>
            </w:r>
            <w:r w:rsidR="00D965CF" w:rsidRPr="00816C7A">
              <w:rPr>
                <w:rStyle w:val="Hyperlink"/>
                <w:noProof/>
              </w:rPr>
              <w:t>Conclusion</w:t>
            </w:r>
            <w:r w:rsidR="00D965CF">
              <w:rPr>
                <w:noProof/>
                <w:webHidden/>
              </w:rPr>
              <w:tab/>
            </w:r>
            <w:r w:rsidR="00D965CF">
              <w:rPr>
                <w:noProof/>
                <w:webHidden/>
              </w:rPr>
              <w:fldChar w:fldCharType="begin"/>
            </w:r>
            <w:r w:rsidR="00D965CF">
              <w:rPr>
                <w:noProof/>
                <w:webHidden/>
              </w:rPr>
              <w:instrText xml:space="preserve"> PAGEREF _Toc80362453 \h </w:instrText>
            </w:r>
            <w:r w:rsidR="00D965CF">
              <w:rPr>
                <w:noProof/>
                <w:webHidden/>
              </w:rPr>
            </w:r>
            <w:r w:rsidR="00D965CF">
              <w:rPr>
                <w:noProof/>
                <w:webHidden/>
              </w:rPr>
              <w:fldChar w:fldCharType="separate"/>
            </w:r>
            <w:r w:rsidR="00D965CF">
              <w:rPr>
                <w:noProof/>
                <w:webHidden/>
              </w:rPr>
              <w:t>20</w:t>
            </w:r>
            <w:r w:rsidR="00D965CF">
              <w:rPr>
                <w:noProof/>
                <w:webHidden/>
              </w:rPr>
              <w:fldChar w:fldCharType="end"/>
            </w:r>
          </w:hyperlink>
        </w:p>
        <w:p w14:paraId="1C5ABF80" w14:textId="77777777" w:rsidR="004E6F7D" w:rsidRDefault="004E6F7D">
          <w:r>
            <w:rPr>
              <w:b/>
              <w:bCs/>
              <w:noProof/>
            </w:rPr>
            <w:fldChar w:fldCharType="end"/>
          </w:r>
        </w:p>
      </w:sdtContent>
    </w:sdt>
    <w:p w14:paraId="60715529" w14:textId="77777777" w:rsidR="004E6F7D" w:rsidRDefault="004E6F7D">
      <w:pPr>
        <w:jc w:val="left"/>
      </w:pPr>
      <w:r>
        <w:br w:type="page"/>
      </w:r>
    </w:p>
    <w:p w14:paraId="76DCE08E" w14:textId="77777777" w:rsidR="00485426" w:rsidRPr="00222CC8" w:rsidRDefault="00485426" w:rsidP="00F86C2F">
      <w:pPr>
        <w:jc w:val="center"/>
        <w:rPr>
          <w:b/>
          <w:i/>
          <w:noProof/>
        </w:rPr>
      </w:pPr>
      <w:r w:rsidRPr="00222CC8">
        <w:rPr>
          <w:b/>
          <w:i/>
          <w:noProof/>
        </w:rPr>
        <w:lastRenderedPageBreak/>
        <w:t>DISCLAIMER</w:t>
      </w:r>
    </w:p>
    <w:p w14:paraId="129F9F8D" w14:textId="77777777" w:rsidR="00485426" w:rsidRDefault="00485426" w:rsidP="00485426">
      <w:pPr>
        <w:rPr>
          <w:b/>
          <w:i/>
          <w:noProof/>
        </w:rPr>
      </w:pPr>
      <w:r w:rsidRPr="00222CC8">
        <w:rPr>
          <w:b/>
          <w:i/>
          <w:noProof/>
        </w:rPr>
        <w:t>THIS DOCUMENT IS NOT A STANDARD. IT IS NOT INTENDED TO, NOR SHOULD</w:t>
      </w:r>
      <w:r>
        <w:rPr>
          <w:b/>
          <w:i/>
          <w:noProof/>
        </w:rPr>
        <w:t xml:space="preserve"> </w:t>
      </w:r>
      <w:r w:rsidRPr="00222CC8">
        <w:rPr>
          <w:b/>
          <w:i/>
          <w:noProof/>
        </w:rPr>
        <w:t>IT BE USED TO SUPPORT A CAUSE OF ACTION, CREATE A PRESUMPTION OF A</w:t>
      </w:r>
      <w:r>
        <w:rPr>
          <w:b/>
          <w:i/>
          <w:noProof/>
        </w:rPr>
        <w:t xml:space="preserve"> </w:t>
      </w:r>
      <w:r w:rsidRPr="00222CC8">
        <w:rPr>
          <w:b/>
          <w:i/>
          <w:noProof/>
        </w:rPr>
        <w:t>BREACH OF LEGAL DUTY, OR FORM A BASIS FOR CIVIL LIABILITY. NOTHING</w:t>
      </w:r>
      <w:r>
        <w:rPr>
          <w:b/>
          <w:i/>
          <w:noProof/>
        </w:rPr>
        <w:t xml:space="preserve"> </w:t>
      </w:r>
      <w:r w:rsidRPr="00222CC8">
        <w:rPr>
          <w:b/>
          <w:i/>
          <w:noProof/>
        </w:rPr>
        <w:t>EXPRESSED OR IMPLIED IN THIS INFORMATIONAL DOCUMENT IS INTENDED,</w:t>
      </w:r>
      <w:r>
        <w:rPr>
          <w:b/>
          <w:i/>
          <w:noProof/>
        </w:rPr>
        <w:t xml:space="preserve"> </w:t>
      </w:r>
      <w:r w:rsidRPr="00222CC8">
        <w:rPr>
          <w:b/>
          <w:i/>
          <w:noProof/>
        </w:rPr>
        <w:t>OR SHALL BE CONSTRUED, TO CONFER UPON OR GIVE ANY PERSON OR</w:t>
      </w:r>
      <w:r>
        <w:rPr>
          <w:b/>
          <w:i/>
          <w:noProof/>
        </w:rPr>
        <w:t xml:space="preserve"> </w:t>
      </w:r>
      <w:r w:rsidRPr="00222CC8">
        <w:rPr>
          <w:b/>
          <w:i/>
          <w:noProof/>
        </w:rPr>
        <w:t>ENTITY ANY RIGHTS OR REMEDIES UNDER OR BY REASON OF THIS</w:t>
      </w:r>
      <w:r>
        <w:rPr>
          <w:b/>
          <w:i/>
          <w:noProof/>
        </w:rPr>
        <w:t xml:space="preserve"> </w:t>
      </w:r>
      <w:r w:rsidRPr="00222CC8">
        <w:rPr>
          <w:b/>
          <w:i/>
          <w:noProof/>
        </w:rPr>
        <w:t>INFORMATIONAL DOCUMENT.</w:t>
      </w:r>
    </w:p>
    <w:p w14:paraId="10B8905C" w14:textId="77777777" w:rsidR="00485426" w:rsidRDefault="00485426" w:rsidP="00485426">
      <w:pPr>
        <w:rPr>
          <w:b/>
          <w:i/>
          <w:noProof/>
        </w:rPr>
      </w:pPr>
      <w:r w:rsidRPr="00222CC8">
        <w:rPr>
          <w:b/>
          <w:i/>
          <w:noProof/>
        </w:rPr>
        <w:t>THIS DOCUMENT IS PROVIDED BY THE INTERNATIONAL AEROSPACE</w:t>
      </w:r>
      <w:r>
        <w:rPr>
          <w:b/>
          <w:i/>
          <w:noProof/>
        </w:rPr>
        <w:t xml:space="preserve"> </w:t>
      </w:r>
      <w:r w:rsidRPr="00222CC8">
        <w:rPr>
          <w:b/>
          <w:i/>
          <w:noProof/>
        </w:rPr>
        <w:t>ENVIRONMENTAL GROUP (IAEG) FOR INFORMATIONAL PURPOSES ONLY.</w:t>
      </w:r>
      <w:r>
        <w:rPr>
          <w:b/>
          <w:i/>
          <w:noProof/>
        </w:rPr>
        <w:t xml:space="preserve"> </w:t>
      </w:r>
      <w:r w:rsidRPr="00222CC8">
        <w:rPr>
          <w:b/>
          <w:i/>
          <w:noProof/>
        </w:rPr>
        <w:t>DETERMINATION OF WHETHER AND/OR HOW TO USE ALL OR ANY PORTION</w:t>
      </w:r>
      <w:r>
        <w:rPr>
          <w:b/>
          <w:i/>
          <w:noProof/>
        </w:rPr>
        <w:t xml:space="preserve"> </w:t>
      </w:r>
      <w:r w:rsidRPr="00222CC8">
        <w:rPr>
          <w:b/>
          <w:i/>
          <w:noProof/>
        </w:rPr>
        <w:t>OF THIS DOCUMENT IS TO BE MADE IN YOUR SOLE AND ABSOLUTE</w:t>
      </w:r>
      <w:r>
        <w:rPr>
          <w:b/>
          <w:i/>
          <w:noProof/>
        </w:rPr>
        <w:t xml:space="preserve"> </w:t>
      </w:r>
      <w:r w:rsidRPr="00222CC8">
        <w:rPr>
          <w:b/>
          <w:i/>
          <w:noProof/>
        </w:rPr>
        <w:t>DISCRETION. RELIANCE SHOULD NOT IN ANY WAY BE PLACED ON THIS</w:t>
      </w:r>
      <w:r>
        <w:rPr>
          <w:b/>
          <w:i/>
          <w:noProof/>
        </w:rPr>
        <w:t xml:space="preserve"> </w:t>
      </w:r>
      <w:r w:rsidRPr="00222CC8">
        <w:rPr>
          <w:b/>
          <w:i/>
          <w:noProof/>
        </w:rPr>
        <w:t>DOCUMENT FOR ISO CERTIFICATION OR OTHERWISE. NO PART OF THIS</w:t>
      </w:r>
      <w:r>
        <w:rPr>
          <w:b/>
          <w:i/>
          <w:noProof/>
        </w:rPr>
        <w:t xml:space="preserve"> </w:t>
      </w:r>
      <w:r w:rsidRPr="00222CC8">
        <w:rPr>
          <w:b/>
          <w:i/>
          <w:noProof/>
        </w:rPr>
        <w:t>DOCUMENT CONSTITUTES LEGAL ADVICE. USE OF THIS DOCUMENT IS</w:t>
      </w:r>
      <w:r>
        <w:rPr>
          <w:b/>
          <w:i/>
          <w:noProof/>
        </w:rPr>
        <w:t xml:space="preserve"> </w:t>
      </w:r>
      <w:r w:rsidRPr="00222CC8">
        <w:rPr>
          <w:b/>
          <w:i/>
          <w:noProof/>
        </w:rPr>
        <w:t>VOLUNTARY.</w:t>
      </w:r>
    </w:p>
    <w:p w14:paraId="1386CC60" w14:textId="77777777" w:rsidR="00485426" w:rsidRDefault="00485426" w:rsidP="00485426">
      <w:pPr>
        <w:rPr>
          <w:b/>
          <w:bCs/>
          <w:i/>
          <w:iCs/>
          <w:noProof/>
        </w:rPr>
      </w:pPr>
      <w:r w:rsidRPr="00222CC8">
        <w:rPr>
          <w:b/>
          <w:i/>
          <w:noProof/>
        </w:rPr>
        <w:t>IAEG DOES NOT MAKE ANY REPRESENTATIONS OR WARRANTIES WITH</w:t>
      </w:r>
      <w:r>
        <w:rPr>
          <w:b/>
          <w:i/>
          <w:noProof/>
        </w:rPr>
        <w:t xml:space="preserve"> </w:t>
      </w:r>
      <w:r w:rsidRPr="00222CC8">
        <w:rPr>
          <w:b/>
          <w:i/>
          <w:noProof/>
        </w:rPr>
        <w:t>RESPECT TO THIS DOCUMENT OR ITS CONTENTS. IAEG HEREBY DISCLAIMS</w:t>
      </w:r>
      <w:r>
        <w:rPr>
          <w:b/>
          <w:i/>
          <w:noProof/>
        </w:rPr>
        <w:t xml:space="preserve"> </w:t>
      </w:r>
      <w:r w:rsidRPr="00222CC8">
        <w:rPr>
          <w:b/>
          <w:i/>
          <w:noProof/>
        </w:rPr>
        <w:t>ALL WARRANTIES OF ANY NATURE, EXPRESS, IMPLIED OR OTHERWISE, OR</w:t>
      </w:r>
      <w:r>
        <w:rPr>
          <w:b/>
          <w:i/>
          <w:noProof/>
        </w:rPr>
        <w:t xml:space="preserve"> </w:t>
      </w:r>
      <w:r w:rsidRPr="00222CC8">
        <w:rPr>
          <w:b/>
          <w:i/>
          <w:noProof/>
        </w:rPr>
        <w:t>ARISING FROM TRADE OR CUSTOM, INCLUDING, WITHOUT LIMITATION, ANY</w:t>
      </w:r>
      <w:r>
        <w:rPr>
          <w:b/>
          <w:i/>
          <w:noProof/>
        </w:rPr>
        <w:t xml:space="preserve"> </w:t>
      </w:r>
      <w:r w:rsidRPr="00222CC8">
        <w:rPr>
          <w:b/>
          <w:i/>
          <w:noProof/>
        </w:rPr>
        <w:t>IMPLIED WARRANTIES OF MERCHANTABILITY, NONINFRINGEMENT, QUALITY,</w:t>
      </w:r>
      <w:r>
        <w:rPr>
          <w:b/>
          <w:i/>
          <w:noProof/>
        </w:rPr>
        <w:t xml:space="preserve"> </w:t>
      </w:r>
      <w:r w:rsidRPr="00222CC8">
        <w:rPr>
          <w:b/>
          <w:i/>
          <w:noProof/>
        </w:rPr>
        <w:t>TITLE, FITNESS FOR A PARTICULAR PURPOSE, COMPLETENESS OR</w:t>
      </w:r>
      <w:r>
        <w:rPr>
          <w:b/>
          <w:i/>
          <w:noProof/>
        </w:rPr>
        <w:t xml:space="preserve"> </w:t>
      </w:r>
      <w:r w:rsidRPr="00222CC8">
        <w:rPr>
          <w:b/>
          <w:i/>
          <w:noProof/>
        </w:rPr>
        <w:t>ACCURACY. TO THE FULLEST EXTENT PERMITTED BY APPLICABLE LAWS,</w:t>
      </w:r>
      <w:r>
        <w:rPr>
          <w:b/>
          <w:i/>
          <w:noProof/>
        </w:rPr>
        <w:t xml:space="preserve"> </w:t>
      </w:r>
      <w:r w:rsidRPr="00222CC8">
        <w:rPr>
          <w:b/>
          <w:i/>
          <w:noProof/>
        </w:rPr>
        <w:t>IAEG SHALL NOT BE LIABLE FOR ANY LOSSES, EXPENSES OR DAMAGES OF</w:t>
      </w:r>
      <w:r>
        <w:rPr>
          <w:b/>
          <w:i/>
          <w:noProof/>
        </w:rPr>
        <w:t xml:space="preserve"> </w:t>
      </w:r>
      <w:r w:rsidRPr="00222CC8">
        <w:rPr>
          <w:b/>
          <w:i/>
          <w:noProof/>
        </w:rPr>
        <w:t>ANY NATURE, INCLUDING, WITHOUT LIMITATION, SPECIAL, INCIDENTAL,</w:t>
      </w:r>
      <w:r>
        <w:rPr>
          <w:b/>
          <w:i/>
          <w:noProof/>
        </w:rPr>
        <w:t xml:space="preserve"> </w:t>
      </w:r>
      <w:r w:rsidRPr="00222CC8">
        <w:rPr>
          <w:b/>
          <w:i/>
          <w:noProof/>
        </w:rPr>
        <w:t>PUNITIVE, DIRECT, INDIRECT OR CONSEQUENTIAL DAMAGES OR LOST</w:t>
      </w:r>
      <w:r>
        <w:rPr>
          <w:b/>
          <w:i/>
          <w:noProof/>
        </w:rPr>
        <w:t xml:space="preserve"> </w:t>
      </w:r>
      <w:r w:rsidRPr="00222CC8">
        <w:rPr>
          <w:b/>
          <w:i/>
          <w:noProof/>
        </w:rPr>
        <w:t>INCOME OR PROFITS, RESULTING FROM OR ARISING OUT OF A COMPANY’S</w:t>
      </w:r>
      <w:r>
        <w:rPr>
          <w:b/>
          <w:i/>
          <w:noProof/>
        </w:rPr>
        <w:t xml:space="preserve"> </w:t>
      </w:r>
      <w:r w:rsidRPr="00222CC8">
        <w:rPr>
          <w:b/>
          <w:i/>
          <w:noProof/>
        </w:rPr>
        <w:t>OR INDIVIDUAL’S USE OF THIS DOCUMENT, WHETHER ARISING IN TORT,</w:t>
      </w:r>
      <w:r>
        <w:rPr>
          <w:b/>
          <w:i/>
          <w:noProof/>
        </w:rPr>
        <w:t xml:space="preserve"> </w:t>
      </w:r>
      <w:r w:rsidRPr="00222CC8">
        <w:rPr>
          <w:b/>
          <w:i/>
          <w:noProof/>
        </w:rPr>
        <w:t>CONTRACT, STATUTE, OR OTHERWISE, EVEN IF ADVISED OF THE POSSIBILITY</w:t>
      </w:r>
      <w:r>
        <w:rPr>
          <w:b/>
          <w:i/>
          <w:noProof/>
        </w:rPr>
        <w:t xml:space="preserve"> </w:t>
      </w:r>
      <w:r w:rsidRPr="00222CC8">
        <w:rPr>
          <w:b/>
          <w:i/>
          <w:noProof/>
        </w:rPr>
        <w:t>OF SUCH DAMAGES.</w:t>
      </w:r>
      <w:r>
        <w:rPr>
          <w:b/>
          <w:i/>
          <w:noProof/>
        </w:rPr>
        <w:br w:type="page"/>
      </w:r>
    </w:p>
    <w:p w14:paraId="355B4622" w14:textId="77777777" w:rsidR="00A4239E" w:rsidRDefault="00485426" w:rsidP="004E6F7D">
      <w:pPr>
        <w:pStyle w:val="Heading1"/>
      </w:pPr>
      <w:bookmarkStart w:id="1" w:name="_Toc80362428"/>
      <w:r>
        <w:lastRenderedPageBreak/>
        <w:t>Glossary</w:t>
      </w:r>
      <w:bookmarkEnd w:id="1"/>
      <w:r>
        <w:t xml:space="preserve"> </w:t>
      </w:r>
    </w:p>
    <w:p w14:paraId="099E563B" w14:textId="77777777" w:rsidR="00485426" w:rsidRPr="00485426" w:rsidRDefault="00485426" w:rsidP="00485426"/>
    <w:tbl>
      <w:tblPr>
        <w:tblStyle w:val="LightShading-Accent1"/>
        <w:tblW w:w="0" w:type="auto"/>
        <w:tblLook w:val="04A0" w:firstRow="1" w:lastRow="0" w:firstColumn="1" w:lastColumn="0" w:noHBand="0" w:noVBand="1"/>
      </w:tblPr>
      <w:tblGrid>
        <w:gridCol w:w="1277"/>
        <w:gridCol w:w="7749"/>
      </w:tblGrid>
      <w:tr w:rsidR="00485426" w:rsidRPr="00C955C4" w14:paraId="1F28B997" w14:textId="77777777" w:rsidTr="00A71658">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87" w:type="dxa"/>
            <w:tcBorders>
              <w:top w:val="single" w:sz="4" w:space="0" w:color="76923C"/>
              <w:bottom w:val="single" w:sz="4" w:space="0" w:color="76923C"/>
            </w:tcBorders>
            <w:vAlign w:val="center"/>
          </w:tcPr>
          <w:p w14:paraId="1A5EBAAD" w14:textId="77777777" w:rsidR="00485426" w:rsidRPr="00485426" w:rsidRDefault="00485426" w:rsidP="00A71658">
            <w:pPr>
              <w:jc w:val="center"/>
              <w:rPr>
                <w:color w:val="000000" w:themeColor="text1"/>
                <w:sz w:val="22"/>
                <w:szCs w:val="22"/>
              </w:rPr>
            </w:pPr>
            <w:r w:rsidRPr="00485426">
              <w:rPr>
                <w:color w:val="000000" w:themeColor="text1"/>
                <w:sz w:val="22"/>
                <w:szCs w:val="22"/>
              </w:rPr>
              <w:t>Acronym</w:t>
            </w:r>
          </w:p>
        </w:tc>
        <w:tc>
          <w:tcPr>
            <w:tcW w:w="7964" w:type="dxa"/>
            <w:tcBorders>
              <w:top w:val="single" w:sz="4" w:space="0" w:color="76923C"/>
              <w:bottom w:val="single" w:sz="4" w:space="0" w:color="76923C"/>
            </w:tcBorders>
            <w:vAlign w:val="center"/>
          </w:tcPr>
          <w:p w14:paraId="3F2C3CE3" w14:textId="77777777" w:rsidR="00485426" w:rsidRPr="00485426" w:rsidRDefault="00485426" w:rsidP="00A71658">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485426">
              <w:rPr>
                <w:color w:val="000000" w:themeColor="text1"/>
                <w:sz w:val="22"/>
                <w:szCs w:val="22"/>
              </w:rPr>
              <w:t>Definition</w:t>
            </w:r>
          </w:p>
        </w:tc>
      </w:tr>
      <w:tr w:rsidR="00485426" w:rsidRPr="00C955C4" w14:paraId="5E1F6890" w14:textId="77777777" w:rsidTr="00A7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Borders>
              <w:top w:val="single" w:sz="4" w:space="0" w:color="76923C"/>
            </w:tcBorders>
            <w:shd w:val="clear" w:color="auto" w:fill="EAF1DD" w:themeFill="accent3" w:themeFillTint="33"/>
          </w:tcPr>
          <w:p w14:paraId="7864A99F" w14:textId="77777777" w:rsidR="00485426" w:rsidRPr="00A71658" w:rsidRDefault="00485426" w:rsidP="00A71658">
            <w:pPr>
              <w:spacing w:before="120" w:after="120"/>
              <w:jc w:val="left"/>
              <w:rPr>
                <w:color w:val="auto"/>
                <w:sz w:val="22"/>
                <w:szCs w:val="22"/>
              </w:rPr>
            </w:pPr>
            <w:r w:rsidRPr="00A71658">
              <w:rPr>
                <w:color w:val="auto"/>
                <w:sz w:val="22"/>
                <w:szCs w:val="22"/>
              </w:rPr>
              <w:t>BoM</w:t>
            </w:r>
          </w:p>
        </w:tc>
        <w:tc>
          <w:tcPr>
            <w:tcW w:w="7964" w:type="dxa"/>
            <w:tcBorders>
              <w:top w:val="single" w:sz="4" w:space="0" w:color="76923C"/>
            </w:tcBorders>
            <w:shd w:val="clear" w:color="auto" w:fill="EAF1DD" w:themeFill="accent3" w:themeFillTint="33"/>
          </w:tcPr>
          <w:p w14:paraId="48CC3BD0" w14:textId="77777777" w:rsidR="00485426" w:rsidRPr="00A71658" w:rsidRDefault="00485426" w:rsidP="00A71658">
            <w:pPr>
              <w:spacing w:before="120" w:after="120"/>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A71658">
              <w:rPr>
                <w:b/>
                <w:bCs/>
                <w:color w:val="auto"/>
                <w:sz w:val="22"/>
                <w:szCs w:val="22"/>
              </w:rPr>
              <w:t>Bill of Materials</w:t>
            </w:r>
          </w:p>
        </w:tc>
      </w:tr>
      <w:tr w:rsidR="00485426" w:rsidRPr="00C955C4" w14:paraId="7B8679A5" w14:textId="77777777" w:rsidTr="00A71658">
        <w:tc>
          <w:tcPr>
            <w:cnfStyle w:val="001000000000" w:firstRow="0" w:lastRow="0" w:firstColumn="1" w:lastColumn="0" w:oddVBand="0" w:evenVBand="0" w:oddHBand="0" w:evenHBand="0" w:firstRowFirstColumn="0" w:firstRowLastColumn="0" w:lastRowFirstColumn="0" w:lastRowLastColumn="0"/>
            <w:tcW w:w="1287" w:type="dxa"/>
          </w:tcPr>
          <w:p w14:paraId="75FB3985" w14:textId="77777777" w:rsidR="00485426" w:rsidRPr="00A71658" w:rsidRDefault="00485426" w:rsidP="00A71658">
            <w:pPr>
              <w:spacing w:before="120" w:after="120"/>
              <w:jc w:val="left"/>
              <w:rPr>
                <w:color w:val="auto"/>
                <w:sz w:val="22"/>
                <w:szCs w:val="22"/>
              </w:rPr>
            </w:pPr>
            <w:r w:rsidRPr="00A71658">
              <w:rPr>
                <w:color w:val="auto"/>
                <w:sz w:val="22"/>
                <w:szCs w:val="22"/>
              </w:rPr>
              <w:t>CG</w:t>
            </w:r>
          </w:p>
        </w:tc>
        <w:tc>
          <w:tcPr>
            <w:tcW w:w="7964" w:type="dxa"/>
          </w:tcPr>
          <w:p w14:paraId="41DAA205" w14:textId="77777777" w:rsidR="00485426" w:rsidRPr="00A71658" w:rsidRDefault="00485426" w:rsidP="00A71658">
            <w:pPr>
              <w:spacing w:before="120" w:after="120"/>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A71658">
              <w:rPr>
                <w:color w:val="auto"/>
                <w:sz w:val="22"/>
                <w:szCs w:val="22"/>
              </w:rPr>
              <w:t>Capital Goods</w:t>
            </w:r>
          </w:p>
        </w:tc>
      </w:tr>
      <w:tr w:rsidR="00485426" w:rsidRPr="00841D39" w14:paraId="057F8DEC" w14:textId="77777777" w:rsidTr="00A7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shd w:val="clear" w:color="auto" w:fill="EAF1DD" w:themeFill="accent3" w:themeFillTint="33"/>
          </w:tcPr>
          <w:p w14:paraId="70F5BB5B" w14:textId="77777777" w:rsidR="00485426" w:rsidRPr="00A71658" w:rsidRDefault="00485426" w:rsidP="00A71658">
            <w:pPr>
              <w:spacing w:before="120" w:after="120"/>
              <w:jc w:val="left"/>
              <w:rPr>
                <w:color w:val="auto"/>
                <w:sz w:val="22"/>
                <w:szCs w:val="22"/>
              </w:rPr>
            </w:pPr>
            <w:r w:rsidRPr="00A71658">
              <w:rPr>
                <w:color w:val="auto"/>
                <w:sz w:val="22"/>
                <w:szCs w:val="22"/>
              </w:rPr>
              <w:t>EF</w:t>
            </w:r>
          </w:p>
        </w:tc>
        <w:tc>
          <w:tcPr>
            <w:tcW w:w="7964" w:type="dxa"/>
            <w:shd w:val="clear" w:color="auto" w:fill="EAF1DD" w:themeFill="accent3" w:themeFillTint="33"/>
          </w:tcPr>
          <w:p w14:paraId="1E217B2F" w14:textId="77777777" w:rsidR="00485426" w:rsidRPr="00A71658" w:rsidRDefault="00485426" w:rsidP="00A71658">
            <w:pPr>
              <w:spacing w:before="120" w:after="120"/>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A71658">
              <w:rPr>
                <w:b/>
                <w:bCs/>
                <w:color w:val="auto"/>
                <w:sz w:val="22"/>
                <w:szCs w:val="22"/>
              </w:rPr>
              <w:t>Emission Factor</w:t>
            </w:r>
          </w:p>
        </w:tc>
      </w:tr>
      <w:tr w:rsidR="00485426" w:rsidRPr="00C955C4" w14:paraId="773EDEF2" w14:textId="77777777" w:rsidTr="00A71658">
        <w:tc>
          <w:tcPr>
            <w:cnfStyle w:val="001000000000" w:firstRow="0" w:lastRow="0" w:firstColumn="1" w:lastColumn="0" w:oddVBand="0" w:evenVBand="0" w:oddHBand="0" w:evenHBand="0" w:firstRowFirstColumn="0" w:firstRowLastColumn="0" w:lastRowFirstColumn="0" w:lastRowLastColumn="0"/>
            <w:tcW w:w="1287" w:type="dxa"/>
          </w:tcPr>
          <w:p w14:paraId="09745408" w14:textId="77777777" w:rsidR="00485426" w:rsidRPr="00A71658" w:rsidRDefault="00485426" w:rsidP="00A71658">
            <w:pPr>
              <w:spacing w:before="120" w:after="120"/>
              <w:jc w:val="left"/>
              <w:rPr>
                <w:color w:val="auto"/>
                <w:sz w:val="22"/>
                <w:szCs w:val="22"/>
              </w:rPr>
            </w:pPr>
            <w:r w:rsidRPr="00A71658">
              <w:rPr>
                <w:color w:val="auto"/>
                <w:sz w:val="22"/>
                <w:szCs w:val="22"/>
              </w:rPr>
              <w:t>GHG</w:t>
            </w:r>
          </w:p>
        </w:tc>
        <w:tc>
          <w:tcPr>
            <w:tcW w:w="7964" w:type="dxa"/>
          </w:tcPr>
          <w:p w14:paraId="4EC85A59" w14:textId="77777777" w:rsidR="00485426" w:rsidRPr="00A71658" w:rsidRDefault="00485426" w:rsidP="00A71658">
            <w:pPr>
              <w:spacing w:before="120" w:after="120"/>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A71658">
              <w:rPr>
                <w:color w:val="auto"/>
                <w:sz w:val="22"/>
                <w:szCs w:val="22"/>
              </w:rPr>
              <w:t>Greenhouse Gases</w:t>
            </w:r>
          </w:p>
        </w:tc>
      </w:tr>
      <w:tr w:rsidR="00485426" w:rsidRPr="00C955C4" w14:paraId="378F6D9D" w14:textId="77777777" w:rsidTr="00A7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shd w:val="clear" w:color="auto" w:fill="EAF1DD" w:themeFill="accent3" w:themeFillTint="33"/>
          </w:tcPr>
          <w:p w14:paraId="41FBE938" w14:textId="77777777" w:rsidR="00485426" w:rsidRPr="00A71658" w:rsidRDefault="00485426" w:rsidP="00A71658">
            <w:pPr>
              <w:spacing w:before="120" w:after="120"/>
              <w:jc w:val="left"/>
              <w:rPr>
                <w:color w:val="auto"/>
                <w:sz w:val="22"/>
                <w:szCs w:val="22"/>
              </w:rPr>
            </w:pPr>
            <w:r w:rsidRPr="00A71658">
              <w:rPr>
                <w:color w:val="auto"/>
                <w:sz w:val="22"/>
                <w:szCs w:val="22"/>
              </w:rPr>
              <w:t>IAEG</w:t>
            </w:r>
          </w:p>
        </w:tc>
        <w:tc>
          <w:tcPr>
            <w:tcW w:w="7964" w:type="dxa"/>
            <w:shd w:val="clear" w:color="auto" w:fill="EAF1DD" w:themeFill="accent3" w:themeFillTint="33"/>
          </w:tcPr>
          <w:p w14:paraId="782ED432" w14:textId="77777777" w:rsidR="00485426" w:rsidRPr="00A71658" w:rsidRDefault="00485426" w:rsidP="00A71658">
            <w:pPr>
              <w:spacing w:before="120" w:after="120"/>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A71658">
              <w:rPr>
                <w:b/>
                <w:bCs/>
                <w:color w:val="auto"/>
                <w:sz w:val="22"/>
                <w:szCs w:val="22"/>
              </w:rPr>
              <w:t>International Aviation Environmental Group</w:t>
            </w:r>
          </w:p>
        </w:tc>
      </w:tr>
      <w:tr w:rsidR="00485426" w:rsidRPr="00C955C4" w14:paraId="3048430D" w14:textId="77777777" w:rsidTr="00A71658">
        <w:tc>
          <w:tcPr>
            <w:cnfStyle w:val="001000000000" w:firstRow="0" w:lastRow="0" w:firstColumn="1" w:lastColumn="0" w:oddVBand="0" w:evenVBand="0" w:oddHBand="0" w:evenHBand="0" w:firstRowFirstColumn="0" w:firstRowLastColumn="0" w:lastRowFirstColumn="0" w:lastRowLastColumn="0"/>
            <w:tcW w:w="1287" w:type="dxa"/>
          </w:tcPr>
          <w:p w14:paraId="146CE5CC" w14:textId="77777777" w:rsidR="00485426" w:rsidRPr="00A71658" w:rsidRDefault="00485426" w:rsidP="00A71658">
            <w:pPr>
              <w:spacing w:before="120" w:after="120"/>
              <w:jc w:val="left"/>
              <w:rPr>
                <w:color w:val="auto"/>
                <w:sz w:val="22"/>
                <w:szCs w:val="22"/>
              </w:rPr>
            </w:pPr>
            <w:r w:rsidRPr="00A71658">
              <w:rPr>
                <w:color w:val="auto"/>
                <w:sz w:val="22"/>
                <w:szCs w:val="22"/>
              </w:rPr>
              <w:t>ISO/TR</w:t>
            </w:r>
          </w:p>
        </w:tc>
        <w:tc>
          <w:tcPr>
            <w:tcW w:w="7964" w:type="dxa"/>
          </w:tcPr>
          <w:p w14:paraId="30B87AB5" w14:textId="77777777" w:rsidR="00485426" w:rsidRPr="00A71658" w:rsidRDefault="00485426" w:rsidP="00A71658">
            <w:pPr>
              <w:spacing w:before="120" w:after="120"/>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A71658">
              <w:rPr>
                <w:color w:val="auto"/>
                <w:sz w:val="22"/>
                <w:szCs w:val="22"/>
              </w:rPr>
              <w:t>International Organization for Standardization/Technical Report</w:t>
            </w:r>
          </w:p>
        </w:tc>
      </w:tr>
      <w:tr w:rsidR="00485426" w:rsidRPr="00C955C4" w14:paraId="38F1BE74" w14:textId="77777777" w:rsidTr="00A7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shd w:val="clear" w:color="auto" w:fill="EAF1DD" w:themeFill="accent3" w:themeFillTint="33"/>
          </w:tcPr>
          <w:p w14:paraId="5F4126A2" w14:textId="77777777" w:rsidR="00485426" w:rsidRPr="00A71658" w:rsidRDefault="00485426" w:rsidP="00A71658">
            <w:pPr>
              <w:spacing w:before="120" w:after="120"/>
              <w:jc w:val="left"/>
              <w:rPr>
                <w:color w:val="auto"/>
                <w:sz w:val="22"/>
                <w:szCs w:val="22"/>
              </w:rPr>
            </w:pPr>
            <w:r w:rsidRPr="00A71658">
              <w:rPr>
                <w:color w:val="auto"/>
                <w:sz w:val="22"/>
                <w:szCs w:val="22"/>
              </w:rPr>
              <w:t>PG</w:t>
            </w:r>
          </w:p>
        </w:tc>
        <w:tc>
          <w:tcPr>
            <w:tcW w:w="7964" w:type="dxa"/>
            <w:shd w:val="clear" w:color="auto" w:fill="EAF1DD" w:themeFill="accent3" w:themeFillTint="33"/>
          </w:tcPr>
          <w:p w14:paraId="6173F7AE" w14:textId="77777777" w:rsidR="00485426" w:rsidRPr="00A71658" w:rsidRDefault="00485426" w:rsidP="00A71658">
            <w:pPr>
              <w:spacing w:before="120" w:after="120"/>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A71658">
              <w:rPr>
                <w:b/>
                <w:bCs/>
                <w:color w:val="auto"/>
                <w:sz w:val="22"/>
                <w:szCs w:val="22"/>
              </w:rPr>
              <w:t>Purchased Goods</w:t>
            </w:r>
          </w:p>
        </w:tc>
      </w:tr>
      <w:tr w:rsidR="00485426" w:rsidRPr="00C955C4" w14:paraId="3708587B" w14:textId="77777777" w:rsidTr="00A71658">
        <w:tc>
          <w:tcPr>
            <w:cnfStyle w:val="001000000000" w:firstRow="0" w:lastRow="0" w:firstColumn="1" w:lastColumn="0" w:oddVBand="0" w:evenVBand="0" w:oddHBand="0" w:evenHBand="0" w:firstRowFirstColumn="0" w:firstRowLastColumn="0" w:lastRowFirstColumn="0" w:lastRowLastColumn="0"/>
            <w:tcW w:w="1287" w:type="dxa"/>
          </w:tcPr>
          <w:p w14:paraId="2D2445BA" w14:textId="77777777" w:rsidR="00485426" w:rsidRPr="00A71658" w:rsidRDefault="00485426" w:rsidP="00A71658">
            <w:pPr>
              <w:spacing w:before="120" w:after="120"/>
              <w:jc w:val="left"/>
              <w:rPr>
                <w:color w:val="auto"/>
                <w:sz w:val="22"/>
                <w:szCs w:val="22"/>
              </w:rPr>
            </w:pPr>
            <w:r w:rsidRPr="00A71658">
              <w:rPr>
                <w:color w:val="auto"/>
                <w:sz w:val="22"/>
                <w:szCs w:val="22"/>
              </w:rPr>
              <w:t>PG&amp;S</w:t>
            </w:r>
          </w:p>
        </w:tc>
        <w:tc>
          <w:tcPr>
            <w:tcW w:w="7964" w:type="dxa"/>
          </w:tcPr>
          <w:p w14:paraId="6393C563" w14:textId="77777777" w:rsidR="00485426" w:rsidRPr="00A71658" w:rsidRDefault="00485426" w:rsidP="00A71658">
            <w:pPr>
              <w:spacing w:before="120" w:after="120"/>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A71658">
              <w:rPr>
                <w:color w:val="auto"/>
                <w:sz w:val="22"/>
                <w:szCs w:val="22"/>
              </w:rPr>
              <w:t>Purchased Goods &amp; Services</w:t>
            </w:r>
          </w:p>
        </w:tc>
      </w:tr>
      <w:tr w:rsidR="00485426" w:rsidRPr="00C955C4" w14:paraId="7FF46FB2" w14:textId="77777777" w:rsidTr="00A7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Borders>
              <w:bottom w:val="nil"/>
            </w:tcBorders>
            <w:shd w:val="clear" w:color="auto" w:fill="EAF1DD" w:themeFill="accent3" w:themeFillTint="33"/>
          </w:tcPr>
          <w:p w14:paraId="563747A4" w14:textId="77777777" w:rsidR="00485426" w:rsidRPr="00A71658" w:rsidRDefault="00485426" w:rsidP="00A71658">
            <w:pPr>
              <w:spacing w:before="120" w:after="120"/>
              <w:jc w:val="left"/>
              <w:rPr>
                <w:color w:val="auto"/>
                <w:sz w:val="22"/>
                <w:szCs w:val="22"/>
              </w:rPr>
            </w:pPr>
            <w:r w:rsidRPr="00A71658">
              <w:rPr>
                <w:color w:val="auto"/>
                <w:sz w:val="22"/>
                <w:szCs w:val="22"/>
              </w:rPr>
              <w:t>PP&amp;E</w:t>
            </w:r>
          </w:p>
        </w:tc>
        <w:tc>
          <w:tcPr>
            <w:tcW w:w="7964" w:type="dxa"/>
            <w:tcBorders>
              <w:bottom w:val="nil"/>
            </w:tcBorders>
            <w:shd w:val="clear" w:color="auto" w:fill="EAF1DD" w:themeFill="accent3" w:themeFillTint="33"/>
          </w:tcPr>
          <w:p w14:paraId="21C43A11" w14:textId="77777777" w:rsidR="00485426" w:rsidRPr="00A71658" w:rsidRDefault="00485426" w:rsidP="00A71658">
            <w:pPr>
              <w:spacing w:before="120" w:after="120"/>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A71658">
              <w:rPr>
                <w:b/>
                <w:bCs/>
                <w:color w:val="auto"/>
                <w:sz w:val="22"/>
                <w:szCs w:val="22"/>
              </w:rPr>
              <w:t>Plant, Property, &amp; Equipment</w:t>
            </w:r>
          </w:p>
        </w:tc>
      </w:tr>
      <w:tr w:rsidR="00485426" w:rsidRPr="00C955C4" w14:paraId="00EECD0C" w14:textId="77777777" w:rsidTr="00A71658">
        <w:tc>
          <w:tcPr>
            <w:cnfStyle w:val="001000000000" w:firstRow="0" w:lastRow="0" w:firstColumn="1" w:lastColumn="0" w:oddVBand="0" w:evenVBand="0" w:oddHBand="0" w:evenHBand="0" w:firstRowFirstColumn="0" w:firstRowLastColumn="0" w:lastRowFirstColumn="0" w:lastRowLastColumn="0"/>
            <w:tcW w:w="1287" w:type="dxa"/>
            <w:tcBorders>
              <w:top w:val="nil"/>
              <w:bottom w:val="single" w:sz="4" w:space="0" w:color="76923C"/>
            </w:tcBorders>
          </w:tcPr>
          <w:p w14:paraId="5F6DF17B" w14:textId="77777777" w:rsidR="00485426" w:rsidRPr="00A71658" w:rsidRDefault="00485426" w:rsidP="00A71658">
            <w:pPr>
              <w:spacing w:before="120" w:after="120"/>
              <w:jc w:val="left"/>
              <w:rPr>
                <w:color w:val="auto"/>
                <w:sz w:val="22"/>
                <w:szCs w:val="22"/>
              </w:rPr>
            </w:pPr>
            <w:r w:rsidRPr="00A71658">
              <w:rPr>
                <w:color w:val="auto"/>
                <w:sz w:val="22"/>
                <w:szCs w:val="22"/>
              </w:rPr>
              <w:t>WG3</w:t>
            </w:r>
          </w:p>
        </w:tc>
        <w:tc>
          <w:tcPr>
            <w:tcW w:w="7964" w:type="dxa"/>
            <w:tcBorders>
              <w:top w:val="nil"/>
              <w:bottom w:val="single" w:sz="4" w:space="0" w:color="76923C"/>
            </w:tcBorders>
          </w:tcPr>
          <w:p w14:paraId="17D5D23B" w14:textId="77777777" w:rsidR="00485426" w:rsidRPr="00A71658" w:rsidRDefault="00485426" w:rsidP="00A71658">
            <w:pPr>
              <w:spacing w:before="120" w:after="120"/>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A71658">
              <w:rPr>
                <w:color w:val="auto"/>
                <w:sz w:val="22"/>
                <w:szCs w:val="22"/>
              </w:rPr>
              <w:t>IAEG Work Group 3</w:t>
            </w:r>
          </w:p>
        </w:tc>
      </w:tr>
    </w:tbl>
    <w:p w14:paraId="643CEDE5" w14:textId="77777777" w:rsidR="00F86C2F" w:rsidRDefault="00F86C2F" w:rsidP="00F86C2F">
      <w:pPr>
        <w:pStyle w:val="Heading1"/>
        <w:numPr>
          <w:ilvl w:val="0"/>
          <w:numId w:val="0"/>
        </w:numPr>
        <w:rPr>
          <w:highlight w:val="lightGray"/>
        </w:rPr>
      </w:pPr>
    </w:p>
    <w:p w14:paraId="107F4E4D" w14:textId="77777777" w:rsidR="00F86C2F" w:rsidRDefault="00F86C2F" w:rsidP="00F86C2F">
      <w:pPr>
        <w:rPr>
          <w:rFonts w:ascii="Cambria" w:eastAsia="Times New Roman" w:hAnsi="Cambria" w:cs="Times New Roman"/>
          <w:sz w:val="28"/>
          <w:szCs w:val="28"/>
          <w:highlight w:val="lightGray"/>
        </w:rPr>
      </w:pPr>
      <w:r>
        <w:rPr>
          <w:highlight w:val="lightGray"/>
        </w:rPr>
        <w:br w:type="page"/>
      </w:r>
    </w:p>
    <w:p w14:paraId="7EEB9252" w14:textId="77777777" w:rsidR="00F86C2F" w:rsidRDefault="00F86C2F" w:rsidP="00BF7028">
      <w:pPr>
        <w:pStyle w:val="Heading1"/>
      </w:pPr>
      <w:bookmarkStart w:id="2" w:name="_Toc27044762"/>
      <w:bookmarkStart w:id="3" w:name="_Toc32606080"/>
      <w:bookmarkStart w:id="4" w:name="_Toc80362429"/>
      <w:r w:rsidRPr="008D0FA3">
        <w:lastRenderedPageBreak/>
        <w:t>Introduction</w:t>
      </w:r>
      <w:bookmarkEnd w:id="2"/>
      <w:bookmarkEnd w:id="3"/>
      <w:bookmarkEnd w:id="4"/>
      <w:r w:rsidRPr="008D0FA3">
        <w:t xml:space="preserve"> </w:t>
      </w:r>
    </w:p>
    <w:p w14:paraId="2E595664" w14:textId="77777777" w:rsidR="00F86C2F" w:rsidRPr="008D0FA3" w:rsidRDefault="00F86C2F" w:rsidP="00BF7028">
      <w:pPr>
        <w:pStyle w:val="Heading2"/>
      </w:pPr>
      <w:bookmarkStart w:id="5" w:name="_Toc27044763"/>
      <w:bookmarkStart w:id="6" w:name="_Toc32606081"/>
      <w:bookmarkStart w:id="7" w:name="_Toc80362430"/>
      <w:r>
        <w:t>Context</w:t>
      </w:r>
      <w:bookmarkEnd w:id="5"/>
      <w:bookmarkEnd w:id="6"/>
      <w:bookmarkEnd w:id="7"/>
    </w:p>
    <w:p w14:paraId="345404E2" w14:textId="77777777" w:rsidR="00F86C2F" w:rsidRDefault="00F86C2F" w:rsidP="00BF7028">
      <w:r>
        <w:t>As described in “</w:t>
      </w:r>
      <w:r w:rsidRPr="00D6488A">
        <w:t>GHG Reporting Guidance for the Aerospace Industry</w:t>
      </w:r>
      <w:r>
        <w:t xml:space="preserve">, </w:t>
      </w:r>
      <w:r w:rsidRPr="00D6488A">
        <w:t>A Supplement to the GHG Protocol Corporate (Scope 1 and 2) and Value Chain (Scope 3) Accounting and Reporting Standards</w:t>
      </w:r>
      <w:r>
        <w:t>”, the International Aerospace Environmental Group (IAEG) identified both</w:t>
      </w:r>
      <w:r w:rsidDel="00521729">
        <w:t xml:space="preserve"> </w:t>
      </w:r>
      <w:r>
        <w:t>“Purchase of Goods and Services” (PG&amp;S) and “Capital Goods”(CG) categories as potentially relevant Scope 3 categories for member companies and their value chain partners. IAEG consequently decided to develop relevant methodology and guidance materials to allow aerospace and defense companies to report greenhouse gas (GHG) emissions for these categories.</w:t>
      </w:r>
    </w:p>
    <w:p w14:paraId="164C21AE" w14:textId="77777777" w:rsidR="00F86C2F" w:rsidRDefault="00F86C2F" w:rsidP="00BF7028">
      <w:r w:rsidRPr="000036D7">
        <w:t>This document provide</w:t>
      </w:r>
      <w:r>
        <w:t>s</w:t>
      </w:r>
      <w:r w:rsidRPr="000036D7">
        <w:t xml:space="preserve"> </w:t>
      </w:r>
      <w:r>
        <w:t xml:space="preserve">guidance </w:t>
      </w:r>
      <w:r w:rsidRPr="000036D7">
        <w:t>for</w:t>
      </w:r>
      <w:r>
        <w:t xml:space="preserve"> assessing GHG emissions inventories</w:t>
      </w:r>
      <w:r w:rsidRPr="75D767E8">
        <w:t xml:space="preserve"> </w:t>
      </w:r>
      <w:r>
        <w:t xml:space="preserve">associated with </w:t>
      </w:r>
      <w:r w:rsidRPr="000036D7">
        <w:t xml:space="preserve">PG&amp;S and CG. </w:t>
      </w:r>
      <w:r>
        <w:t>An overview of the methodology is presented, followed by step-by-step instructions on how to apply the methodology in conjunction with a simplified calculation tool (the “tool”) specifically developed for aerospace-related PG&amp;S and CG GHG emissions accounting.</w:t>
      </w:r>
    </w:p>
    <w:p w14:paraId="01B4BFF2" w14:textId="77777777" w:rsidR="00F86C2F" w:rsidRDefault="00F86C2F" w:rsidP="00BF7028">
      <w:pPr>
        <w:pStyle w:val="Heading2"/>
      </w:pPr>
      <w:bookmarkStart w:id="8" w:name="_Toc27044764"/>
      <w:bookmarkStart w:id="9" w:name="_Toc32606082"/>
      <w:bookmarkStart w:id="10" w:name="_Toc80362431"/>
      <w:r>
        <w:t>Definitions</w:t>
      </w:r>
      <w:bookmarkEnd w:id="8"/>
      <w:bookmarkEnd w:id="9"/>
      <w:bookmarkEnd w:id="10"/>
    </w:p>
    <w:p w14:paraId="0E344F14" w14:textId="77777777" w:rsidR="00F86C2F" w:rsidRPr="006F5706" w:rsidRDefault="00F86C2F" w:rsidP="00BF7028">
      <w:pPr>
        <w:pStyle w:val="Heading3"/>
      </w:pPr>
      <w:bookmarkStart w:id="11" w:name="_Toc32606083"/>
      <w:bookmarkStart w:id="12" w:name="_Toc80362432"/>
      <w:bookmarkStart w:id="13" w:name="_Toc27044765"/>
      <w:r>
        <w:t>Purchased goods and services</w:t>
      </w:r>
      <w:bookmarkEnd w:id="11"/>
      <w:bookmarkEnd w:id="12"/>
      <w:r>
        <w:t xml:space="preserve"> </w:t>
      </w:r>
      <w:bookmarkEnd w:id="13"/>
    </w:p>
    <w:p w14:paraId="07CA7389" w14:textId="77777777" w:rsidR="00F86C2F" w:rsidRPr="00BF7028" w:rsidRDefault="00F86C2F" w:rsidP="00BF7028">
      <w:pPr>
        <w:rPr>
          <w:rFonts w:cstheme="minorHAnsi"/>
        </w:rPr>
      </w:pPr>
      <w:r w:rsidRPr="00BF7028">
        <w:rPr>
          <w:rFonts w:cstheme="minorHAnsi"/>
          <w:noProof/>
        </w:rPr>
        <mc:AlternateContent>
          <mc:Choice Requires="wps">
            <w:drawing>
              <wp:anchor distT="0" distB="0" distL="114300" distR="114300" simplePos="0" relativeHeight="251659264" behindDoc="1" locked="0" layoutInCell="1" allowOverlap="1" wp14:anchorId="30F993D0" wp14:editId="71A86CC6">
                <wp:simplePos x="0" y="0"/>
                <wp:positionH relativeFrom="column">
                  <wp:posOffset>4019550</wp:posOffset>
                </wp:positionH>
                <wp:positionV relativeFrom="paragraph">
                  <wp:posOffset>20320</wp:posOffset>
                </wp:positionV>
                <wp:extent cx="1647825" cy="1228725"/>
                <wp:effectExtent l="0" t="0" r="28575" b="28575"/>
                <wp:wrapTight wrapText="bothSides">
                  <wp:wrapPolygon edited="0">
                    <wp:start x="0" y="0"/>
                    <wp:lineTo x="0" y="21767"/>
                    <wp:lineTo x="21725" y="21767"/>
                    <wp:lineTo x="21725" y="0"/>
                    <wp:lineTo x="0" y="0"/>
                  </wp:wrapPolygon>
                </wp:wrapTight>
                <wp:docPr id="15" name="Text Box 4"/>
                <wp:cNvGraphicFramePr/>
                <a:graphic xmlns:a="http://schemas.openxmlformats.org/drawingml/2006/main">
                  <a:graphicData uri="http://schemas.microsoft.com/office/word/2010/wordprocessingShape">
                    <wps:wsp>
                      <wps:cNvSpPr txBox="1"/>
                      <wps:spPr>
                        <a:xfrm>
                          <a:off x="0" y="0"/>
                          <a:ext cx="1647825" cy="1228725"/>
                        </a:xfrm>
                        <a:prstGeom prst="rect">
                          <a:avLst/>
                        </a:prstGeom>
                        <a:noFill/>
                        <a:ln w="19050">
                          <a:solidFill>
                            <a:schemeClr val="accent3">
                              <a:lumMod val="75000"/>
                            </a:schemeClr>
                          </a:solidFill>
                        </a:ln>
                      </wps:spPr>
                      <wps:txbx>
                        <w:txbxContent>
                          <w:p w14:paraId="3A5A9B8E" w14:textId="77777777" w:rsidR="00F86C2F" w:rsidRPr="00D965CF" w:rsidRDefault="00F86C2F" w:rsidP="00BF7028">
                            <w:pPr>
                              <w:spacing w:after="0"/>
                            </w:pPr>
                            <w:r w:rsidRPr="00D965CF">
                              <w:t>Examples of PG&amp;S:</w:t>
                            </w:r>
                          </w:p>
                          <w:p w14:paraId="410E7B24" w14:textId="77777777" w:rsidR="00F86C2F" w:rsidRPr="00D965CF" w:rsidRDefault="00F86C2F" w:rsidP="00F86C2F">
                            <w:pPr>
                              <w:pStyle w:val="ListParagraph"/>
                              <w:numPr>
                                <w:ilvl w:val="0"/>
                                <w:numId w:val="11"/>
                              </w:numPr>
                              <w:spacing w:after="0" w:line="240" w:lineRule="auto"/>
                              <w:jc w:val="left"/>
                            </w:pPr>
                            <w:r w:rsidRPr="00D965CF">
                              <w:t>Titanium Casting</w:t>
                            </w:r>
                          </w:p>
                          <w:p w14:paraId="6396E4C6" w14:textId="77777777" w:rsidR="00F86C2F" w:rsidRPr="00D965CF" w:rsidRDefault="00F86C2F" w:rsidP="00F86C2F">
                            <w:pPr>
                              <w:pStyle w:val="ListParagraph"/>
                              <w:numPr>
                                <w:ilvl w:val="0"/>
                                <w:numId w:val="11"/>
                              </w:numPr>
                              <w:spacing w:after="0" w:line="240" w:lineRule="auto"/>
                              <w:jc w:val="left"/>
                            </w:pPr>
                            <w:r w:rsidRPr="00D965CF">
                              <w:t>PVC pipe</w:t>
                            </w:r>
                          </w:p>
                          <w:p w14:paraId="2ED371D2" w14:textId="77777777" w:rsidR="00F86C2F" w:rsidRPr="00D965CF" w:rsidRDefault="00F86C2F" w:rsidP="00F86C2F">
                            <w:pPr>
                              <w:pStyle w:val="ListParagraph"/>
                              <w:numPr>
                                <w:ilvl w:val="0"/>
                                <w:numId w:val="11"/>
                              </w:numPr>
                              <w:spacing w:after="0" w:line="240" w:lineRule="auto"/>
                              <w:jc w:val="left"/>
                            </w:pPr>
                            <w:r w:rsidRPr="00D965CF">
                              <w:t>Nylon</w:t>
                            </w:r>
                          </w:p>
                          <w:p w14:paraId="00C262BB" w14:textId="77777777" w:rsidR="00F86C2F" w:rsidRPr="00D965CF" w:rsidRDefault="00F86C2F" w:rsidP="00F86C2F">
                            <w:pPr>
                              <w:pStyle w:val="ListParagraph"/>
                              <w:numPr>
                                <w:ilvl w:val="0"/>
                                <w:numId w:val="11"/>
                              </w:numPr>
                              <w:spacing w:after="0" w:line="240" w:lineRule="auto"/>
                              <w:jc w:val="left"/>
                            </w:pPr>
                            <w:r w:rsidRPr="00D965CF">
                              <w:t>Advertising</w:t>
                            </w:r>
                          </w:p>
                          <w:p w14:paraId="3C524074" w14:textId="77777777" w:rsidR="00F86C2F" w:rsidRPr="00D965CF" w:rsidRDefault="00F86C2F" w:rsidP="00F86C2F">
                            <w:pPr>
                              <w:pStyle w:val="ListParagraph"/>
                              <w:numPr>
                                <w:ilvl w:val="0"/>
                                <w:numId w:val="11"/>
                              </w:numPr>
                              <w:spacing w:after="0" w:line="240" w:lineRule="auto"/>
                              <w:jc w:val="left"/>
                            </w:pPr>
                            <w:r w:rsidRPr="00D965CF">
                              <w:t>Telecom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93D0" id="Text Box 4" o:spid="_x0000_s1028" type="#_x0000_t202" style="position:absolute;left:0;text-align:left;margin-left:316.5pt;margin-top:1.6pt;width:129.7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" filled="f" strokecolor="#76923c [2406]" strokeweight="1.5pt">
                <v:textbox>
                  <w:txbxContent>
                    <w:p w14:paraId="3A5A9B8E" w14:textId="77777777" w:rsidR="00F86C2F" w:rsidRPr="00D965CF" w:rsidRDefault="00F86C2F" w:rsidP="00BF7028">
                      <w:pPr>
                        <w:spacing w:after="0"/>
                      </w:pPr>
                      <w:r w:rsidRPr="00D965CF">
                        <w:t>Examples of PG&amp;S:</w:t>
                      </w:r>
                    </w:p>
                    <w:p w14:paraId="410E7B24" w14:textId="77777777" w:rsidR="00F86C2F" w:rsidRPr="00D965CF" w:rsidRDefault="00F86C2F" w:rsidP="00F86C2F">
                      <w:pPr>
                        <w:pStyle w:val="ListParagraph"/>
                        <w:numPr>
                          <w:ilvl w:val="0"/>
                          <w:numId w:val="11"/>
                        </w:numPr>
                        <w:spacing w:after="0" w:line="240" w:lineRule="auto"/>
                        <w:jc w:val="left"/>
                      </w:pPr>
                      <w:r w:rsidRPr="00D965CF">
                        <w:t>Titanium Casting</w:t>
                      </w:r>
                    </w:p>
                    <w:p w14:paraId="6396E4C6" w14:textId="77777777" w:rsidR="00F86C2F" w:rsidRPr="00D965CF" w:rsidRDefault="00F86C2F" w:rsidP="00F86C2F">
                      <w:pPr>
                        <w:pStyle w:val="ListParagraph"/>
                        <w:numPr>
                          <w:ilvl w:val="0"/>
                          <w:numId w:val="11"/>
                        </w:numPr>
                        <w:spacing w:after="0" w:line="240" w:lineRule="auto"/>
                        <w:jc w:val="left"/>
                      </w:pPr>
                      <w:r w:rsidRPr="00D965CF">
                        <w:t>PVC pipe</w:t>
                      </w:r>
                    </w:p>
                    <w:p w14:paraId="2ED371D2" w14:textId="77777777" w:rsidR="00F86C2F" w:rsidRPr="00D965CF" w:rsidRDefault="00F86C2F" w:rsidP="00F86C2F">
                      <w:pPr>
                        <w:pStyle w:val="ListParagraph"/>
                        <w:numPr>
                          <w:ilvl w:val="0"/>
                          <w:numId w:val="11"/>
                        </w:numPr>
                        <w:spacing w:after="0" w:line="240" w:lineRule="auto"/>
                        <w:jc w:val="left"/>
                      </w:pPr>
                      <w:r w:rsidRPr="00D965CF">
                        <w:t>Nylon</w:t>
                      </w:r>
                    </w:p>
                    <w:p w14:paraId="00C262BB" w14:textId="77777777" w:rsidR="00F86C2F" w:rsidRPr="00D965CF" w:rsidRDefault="00F86C2F" w:rsidP="00F86C2F">
                      <w:pPr>
                        <w:pStyle w:val="ListParagraph"/>
                        <w:numPr>
                          <w:ilvl w:val="0"/>
                          <w:numId w:val="11"/>
                        </w:numPr>
                        <w:spacing w:after="0" w:line="240" w:lineRule="auto"/>
                        <w:jc w:val="left"/>
                      </w:pPr>
                      <w:r w:rsidRPr="00D965CF">
                        <w:t>Advertising</w:t>
                      </w:r>
                    </w:p>
                    <w:p w14:paraId="3C524074" w14:textId="77777777" w:rsidR="00F86C2F" w:rsidRPr="00D965CF" w:rsidRDefault="00F86C2F" w:rsidP="00F86C2F">
                      <w:pPr>
                        <w:pStyle w:val="ListParagraph"/>
                        <w:numPr>
                          <w:ilvl w:val="0"/>
                          <w:numId w:val="11"/>
                        </w:numPr>
                        <w:spacing w:after="0" w:line="240" w:lineRule="auto"/>
                        <w:jc w:val="left"/>
                      </w:pPr>
                      <w:r w:rsidRPr="00D965CF">
                        <w:t>Telecom service</w:t>
                      </w:r>
                    </w:p>
                  </w:txbxContent>
                </v:textbox>
                <w10:wrap type="tight"/>
              </v:shape>
            </w:pict>
          </mc:Fallback>
        </mc:AlternateContent>
      </w:r>
      <w:r w:rsidRPr="00BF7028">
        <w:rPr>
          <w:rFonts w:cstheme="minorHAnsi"/>
        </w:rPr>
        <w:t>The GHG Protocol Corporate Value Chain Accounting Reporting Standard</w:t>
      </w:r>
      <w:r w:rsidRPr="00BF7028">
        <w:rPr>
          <w:rStyle w:val="FootnoteReference"/>
          <w:rFonts w:cstheme="minorHAnsi"/>
        </w:rPr>
        <w:footnoteReference w:id="1"/>
      </w:r>
      <w:r w:rsidRPr="00BF7028">
        <w:rPr>
          <w:rFonts w:cstheme="minorHAnsi"/>
        </w:rPr>
        <w:t>, defines PG&amp;S as “this category includes emissions from all purchased goods and services not otherwise included in the other categories of upstream scope 3 emissions (i.e., category 2 through category 8)”.</w:t>
      </w:r>
    </w:p>
    <w:p w14:paraId="7CBEFAE6" w14:textId="77777777" w:rsidR="00F86C2F" w:rsidRPr="00BF7028" w:rsidRDefault="00F86C2F" w:rsidP="00BF7028">
      <w:pPr>
        <w:rPr>
          <w:rFonts w:cstheme="minorHAnsi"/>
        </w:rPr>
      </w:pPr>
      <w:r w:rsidRPr="00BF7028">
        <w:rPr>
          <w:rFonts w:cstheme="minorHAnsi"/>
        </w:rPr>
        <w:t xml:space="preserve">Purchased goods </w:t>
      </w:r>
      <w:r w:rsidRPr="00BF7028">
        <w:rPr>
          <w:rFonts w:eastAsia="Century Gothic" w:cstheme="minorHAnsi"/>
        </w:rPr>
        <w:t xml:space="preserve">are typically items that are directly related to making the final product </w:t>
      </w:r>
      <w:r w:rsidRPr="00BF7028">
        <w:rPr>
          <w:rFonts w:cstheme="minorHAnsi"/>
        </w:rPr>
        <w:t xml:space="preserve">(such as intermediate goods) or non-product-related inputs (such as office supplies or manufacturing spare parts). </w:t>
      </w:r>
    </w:p>
    <w:p w14:paraId="45AC493C" w14:textId="77777777" w:rsidR="00F86C2F" w:rsidRPr="00BF7028" w:rsidRDefault="00F86C2F" w:rsidP="00BF7028">
      <w:pPr>
        <w:rPr>
          <w:rFonts w:cstheme="minorHAnsi"/>
        </w:rPr>
      </w:pPr>
      <w:r w:rsidRPr="00BF7028">
        <w:rPr>
          <w:rFonts w:cstheme="minorHAnsi"/>
        </w:rPr>
        <w:t xml:space="preserve">Services are defined as intangible products </w:t>
      </w:r>
      <w:r w:rsidRPr="00BF7028">
        <w:rPr>
          <w:rFonts w:eastAsia="Century Gothic" w:cstheme="minorHAnsi"/>
        </w:rPr>
        <w:t>used in the conception of the final product or service offered by the company</w:t>
      </w:r>
      <w:r w:rsidRPr="00BF7028">
        <w:rPr>
          <w:rFonts w:cstheme="minorHAnsi"/>
        </w:rPr>
        <w:t xml:space="preserve">. </w:t>
      </w:r>
    </w:p>
    <w:p w14:paraId="7D824A0D" w14:textId="77777777" w:rsidR="00F86C2F" w:rsidRPr="00BF7028" w:rsidRDefault="00F86C2F" w:rsidP="00BF7028">
      <w:pPr>
        <w:rPr>
          <w:rFonts w:cstheme="minorHAnsi"/>
        </w:rPr>
      </w:pPr>
      <w:r w:rsidRPr="00BF7028">
        <w:rPr>
          <w:rFonts w:cstheme="minorHAnsi"/>
        </w:rPr>
        <w:t>Companies should follow their own financial accounting procedures to determine whether to account for a purchased product as a capital good or as a purchased good or service. Companies should not double count emissions between both categories.</w:t>
      </w:r>
    </w:p>
    <w:p w14:paraId="0A5FCAF7" w14:textId="77777777" w:rsidR="00F86C2F" w:rsidRDefault="00F86C2F" w:rsidP="00BF7028">
      <w:pPr>
        <w:rPr>
          <w:rFonts w:cstheme="minorHAnsi"/>
        </w:rPr>
      </w:pPr>
      <w:r w:rsidRPr="00BF7028">
        <w:rPr>
          <w:rFonts w:cstheme="minorHAnsi"/>
        </w:rPr>
        <w:t xml:space="preserve">Note: Accounting conflicts might arise between the default choices allocated to the different types of products in this methodology and the company’s procedures. In such situations (i.e., a given machinery or vehicle considered as a PG rather than a CG), the user should inform IAEG Work Group 3 (WG3) of the mismatch to help with methodological/tool improvement and, in the meantime, reporters should carefully select what seems to be the most appropriate category for the specific good, and document any assumptions associated with the allocation. </w:t>
      </w:r>
    </w:p>
    <w:p w14:paraId="17FA0B1F" w14:textId="77777777" w:rsidR="00BF7028" w:rsidRDefault="00BF7028" w:rsidP="00BF7028">
      <w:pPr>
        <w:rPr>
          <w:rFonts w:cstheme="minorHAnsi"/>
        </w:rPr>
      </w:pPr>
    </w:p>
    <w:p w14:paraId="6E89703D" w14:textId="77777777" w:rsidR="00BF7028" w:rsidRPr="00BF7028" w:rsidRDefault="00BF7028" w:rsidP="00BF7028">
      <w:pPr>
        <w:rPr>
          <w:rFonts w:cstheme="minorHAnsi"/>
        </w:rPr>
      </w:pPr>
    </w:p>
    <w:p w14:paraId="29A3B50B" w14:textId="77777777" w:rsidR="00F86C2F" w:rsidRDefault="00F86C2F" w:rsidP="00BF7028">
      <w:pPr>
        <w:pStyle w:val="Heading3"/>
      </w:pPr>
      <w:bookmarkStart w:id="14" w:name="_Toc32606084"/>
      <w:bookmarkStart w:id="15" w:name="_Toc80362433"/>
      <w:bookmarkStart w:id="16" w:name="_Toc27044766"/>
      <w:r>
        <w:lastRenderedPageBreak/>
        <w:t>Capital goods</w:t>
      </w:r>
      <w:bookmarkEnd w:id="14"/>
      <w:bookmarkEnd w:id="15"/>
      <w:r>
        <w:t xml:space="preserve"> </w:t>
      </w:r>
      <w:bookmarkEnd w:id="16"/>
    </w:p>
    <w:p w14:paraId="08653B98" w14:textId="77777777" w:rsidR="00F86C2F" w:rsidRPr="00BF7028" w:rsidRDefault="00F86C2F" w:rsidP="00F86C2F">
      <w:pPr>
        <w:pStyle w:val="BodyText"/>
        <w:rPr>
          <w:rFonts w:cstheme="minorHAnsi"/>
        </w:rPr>
      </w:pPr>
      <w:r w:rsidRPr="00BF7028">
        <w:rPr>
          <w:rFonts w:cstheme="minorHAnsi"/>
          <w:noProof/>
        </w:rPr>
        <mc:AlternateContent>
          <mc:Choice Requires="wps">
            <w:drawing>
              <wp:anchor distT="0" distB="0" distL="114300" distR="114300" simplePos="0" relativeHeight="251660288" behindDoc="1" locked="0" layoutInCell="1" allowOverlap="1" wp14:anchorId="6561DC71" wp14:editId="7652C645">
                <wp:simplePos x="0" y="0"/>
                <wp:positionH relativeFrom="column">
                  <wp:posOffset>4181475</wp:posOffset>
                </wp:positionH>
                <wp:positionV relativeFrom="paragraph">
                  <wp:posOffset>158115</wp:posOffset>
                </wp:positionV>
                <wp:extent cx="1524000" cy="1200150"/>
                <wp:effectExtent l="0" t="0" r="19050" b="19050"/>
                <wp:wrapTight wrapText="bothSides">
                  <wp:wrapPolygon edited="0">
                    <wp:start x="0" y="0"/>
                    <wp:lineTo x="0" y="21600"/>
                    <wp:lineTo x="21600" y="21600"/>
                    <wp:lineTo x="21600" y="0"/>
                    <wp:lineTo x="0" y="0"/>
                  </wp:wrapPolygon>
                </wp:wrapTight>
                <wp:docPr id="8" name="Text Box 6"/>
                <wp:cNvGraphicFramePr/>
                <a:graphic xmlns:a="http://schemas.openxmlformats.org/drawingml/2006/main">
                  <a:graphicData uri="http://schemas.microsoft.com/office/word/2010/wordprocessingShape">
                    <wps:wsp>
                      <wps:cNvSpPr txBox="1"/>
                      <wps:spPr>
                        <a:xfrm>
                          <a:off x="0" y="0"/>
                          <a:ext cx="1524000" cy="1200150"/>
                        </a:xfrm>
                        <a:prstGeom prst="rect">
                          <a:avLst/>
                        </a:prstGeom>
                        <a:noFill/>
                        <a:ln w="19050">
                          <a:solidFill>
                            <a:schemeClr val="accent3">
                              <a:lumMod val="75000"/>
                            </a:schemeClr>
                          </a:solidFill>
                        </a:ln>
                      </wps:spPr>
                      <wps:txbx>
                        <w:txbxContent>
                          <w:p w14:paraId="46CCF471" w14:textId="77777777" w:rsidR="00F86C2F" w:rsidRPr="00BF7028" w:rsidRDefault="00F86C2F" w:rsidP="00BF7028">
                            <w:pPr>
                              <w:spacing w:after="0"/>
                            </w:pPr>
                            <w:r w:rsidRPr="00BF7028">
                              <w:t xml:space="preserve">Examples of </w:t>
                            </w:r>
                            <w:r w:rsidR="00D965CF">
                              <w:t>CG</w:t>
                            </w:r>
                            <w:r w:rsidRPr="00BF7028">
                              <w:t>:</w:t>
                            </w:r>
                          </w:p>
                          <w:p w14:paraId="3FCA6D91" w14:textId="77777777" w:rsidR="00F86C2F" w:rsidRPr="00BF7028" w:rsidRDefault="00F86C2F" w:rsidP="00F86C2F">
                            <w:pPr>
                              <w:pStyle w:val="ListParagraph"/>
                              <w:numPr>
                                <w:ilvl w:val="0"/>
                                <w:numId w:val="11"/>
                              </w:numPr>
                              <w:spacing w:after="0" w:line="240" w:lineRule="auto"/>
                              <w:jc w:val="left"/>
                            </w:pPr>
                            <w:r w:rsidRPr="00BF7028">
                              <w:t>Equipment</w:t>
                            </w:r>
                          </w:p>
                          <w:p w14:paraId="53DA1756" w14:textId="77777777" w:rsidR="00F86C2F" w:rsidRPr="00BF7028" w:rsidRDefault="00F86C2F" w:rsidP="00F86C2F">
                            <w:pPr>
                              <w:pStyle w:val="ListParagraph"/>
                              <w:numPr>
                                <w:ilvl w:val="0"/>
                                <w:numId w:val="11"/>
                              </w:numPr>
                              <w:spacing w:after="0" w:line="240" w:lineRule="auto"/>
                              <w:jc w:val="left"/>
                            </w:pPr>
                            <w:r w:rsidRPr="00BF7028">
                              <w:t>Machinery</w:t>
                            </w:r>
                          </w:p>
                          <w:p w14:paraId="70BE18E7" w14:textId="77777777" w:rsidR="00F86C2F" w:rsidRPr="00BF7028" w:rsidRDefault="00F86C2F" w:rsidP="00F86C2F">
                            <w:pPr>
                              <w:pStyle w:val="ListParagraph"/>
                              <w:numPr>
                                <w:ilvl w:val="0"/>
                                <w:numId w:val="11"/>
                              </w:numPr>
                              <w:spacing w:after="0" w:line="240" w:lineRule="auto"/>
                              <w:jc w:val="left"/>
                            </w:pPr>
                            <w:r w:rsidRPr="00BF7028">
                              <w:t>Buildings</w:t>
                            </w:r>
                          </w:p>
                          <w:p w14:paraId="47CE4DE1" w14:textId="77777777" w:rsidR="00F86C2F" w:rsidRPr="00BF7028" w:rsidRDefault="00F86C2F" w:rsidP="00F86C2F">
                            <w:pPr>
                              <w:pStyle w:val="ListParagraph"/>
                              <w:numPr>
                                <w:ilvl w:val="0"/>
                                <w:numId w:val="11"/>
                              </w:numPr>
                              <w:spacing w:after="0" w:line="240" w:lineRule="auto"/>
                              <w:jc w:val="left"/>
                            </w:pPr>
                            <w:r w:rsidRPr="00BF7028">
                              <w:t>Facilities</w:t>
                            </w:r>
                          </w:p>
                          <w:p w14:paraId="508E833C" w14:textId="77777777" w:rsidR="00F86C2F" w:rsidRPr="00BF7028" w:rsidRDefault="00F86C2F" w:rsidP="00F86C2F">
                            <w:pPr>
                              <w:pStyle w:val="ListParagraph"/>
                              <w:numPr>
                                <w:ilvl w:val="0"/>
                                <w:numId w:val="11"/>
                              </w:numPr>
                              <w:spacing w:after="0" w:line="240" w:lineRule="auto"/>
                              <w:jc w:val="left"/>
                            </w:pPr>
                            <w:r w:rsidRPr="00BF7028">
                              <w:t>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DC71" id="Text Box 6" o:spid="_x0000_s1029" type="#_x0000_t202" style="position:absolute;left:0;text-align:left;margin-left:329.25pt;margin-top:12.45pt;width:120pt;height: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" filled="f" strokecolor="#76923c [2406]" strokeweight="1.5pt">
                <v:textbox>
                  <w:txbxContent>
                    <w:p w14:paraId="46CCF471" w14:textId="77777777" w:rsidR="00F86C2F" w:rsidRPr="00BF7028" w:rsidRDefault="00F86C2F" w:rsidP="00BF7028">
                      <w:pPr>
                        <w:spacing w:after="0"/>
                      </w:pPr>
                      <w:r w:rsidRPr="00BF7028">
                        <w:t xml:space="preserve">Examples of </w:t>
                      </w:r>
                      <w:r w:rsidR="00D965CF">
                        <w:t>CG</w:t>
                      </w:r>
                      <w:r w:rsidRPr="00BF7028">
                        <w:t>:</w:t>
                      </w:r>
                    </w:p>
                    <w:p w14:paraId="3FCA6D91" w14:textId="77777777" w:rsidR="00F86C2F" w:rsidRPr="00BF7028" w:rsidRDefault="00F86C2F" w:rsidP="00F86C2F">
                      <w:pPr>
                        <w:pStyle w:val="ListParagraph"/>
                        <w:numPr>
                          <w:ilvl w:val="0"/>
                          <w:numId w:val="11"/>
                        </w:numPr>
                        <w:spacing w:after="0" w:line="240" w:lineRule="auto"/>
                        <w:jc w:val="left"/>
                      </w:pPr>
                      <w:r w:rsidRPr="00BF7028">
                        <w:t>Equipment</w:t>
                      </w:r>
                    </w:p>
                    <w:p w14:paraId="53DA1756" w14:textId="77777777" w:rsidR="00F86C2F" w:rsidRPr="00BF7028" w:rsidRDefault="00F86C2F" w:rsidP="00F86C2F">
                      <w:pPr>
                        <w:pStyle w:val="ListParagraph"/>
                        <w:numPr>
                          <w:ilvl w:val="0"/>
                          <w:numId w:val="11"/>
                        </w:numPr>
                        <w:spacing w:after="0" w:line="240" w:lineRule="auto"/>
                        <w:jc w:val="left"/>
                      </w:pPr>
                      <w:r w:rsidRPr="00BF7028">
                        <w:t>Machinery</w:t>
                      </w:r>
                    </w:p>
                    <w:p w14:paraId="70BE18E7" w14:textId="77777777" w:rsidR="00F86C2F" w:rsidRPr="00BF7028" w:rsidRDefault="00F86C2F" w:rsidP="00F86C2F">
                      <w:pPr>
                        <w:pStyle w:val="ListParagraph"/>
                        <w:numPr>
                          <w:ilvl w:val="0"/>
                          <w:numId w:val="11"/>
                        </w:numPr>
                        <w:spacing w:after="0" w:line="240" w:lineRule="auto"/>
                        <w:jc w:val="left"/>
                      </w:pPr>
                      <w:r w:rsidRPr="00BF7028">
                        <w:t>Buildings</w:t>
                      </w:r>
                    </w:p>
                    <w:p w14:paraId="47CE4DE1" w14:textId="77777777" w:rsidR="00F86C2F" w:rsidRPr="00BF7028" w:rsidRDefault="00F86C2F" w:rsidP="00F86C2F">
                      <w:pPr>
                        <w:pStyle w:val="ListParagraph"/>
                        <w:numPr>
                          <w:ilvl w:val="0"/>
                          <w:numId w:val="11"/>
                        </w:numPr>
                        <w:spacing w:after="0" w:line="240" w:lineRule="auto"/>
                        <w:jc w:val="left"/>
                      </w:pPr>
                      <w:r w:rsidRPr="00BF7028">
                        <w:t>Facilities</w:t>
                      </w:r>
                    </w:p>
                    <w:p w14:paraId="508E833C" w14:textId="77777777" w:rsidR="00F86C2F" w:rsidRPr="00BF7028" w:rsidRDefault="00F86C2F" w:rsidP="00F86C2F">
                      <w:pPr>
                        <w:pStyle w:val="ListParagraph"/>
                        <w:numPr>
                          <w:ilvl w:val="0"/>
                          <w:numId w:val="11"/>
                        </w:numPr>
                        <w:spacing w:after="0" w:line="240" w:lineRule="auto"/>
                        <w:jc w:val="left"/>
                      </w:pPr>
                      <w:r w:rsidRPr="00BF7028">
                        <w:t>Vehicles</w:t>
                      </w:r>
                    </w:p>
                  </w:txbxContent>
                </v:textbox>
                <w10:wrap type="tight"/>
              </v:shape>
            </w:pict>
          </mc:Fallback>
        </mc:AlternateContent>
      </w:r>
      <w:r w:rsidRPr="00BF7028">
        <w:rPr>
          <w:rFonts w:cstheme="minorHAnsi"/>
        </w:rPr>
        <w:t xml:space="preserve">The GHG Protocol Corporate Value Chain Accounting Reporting Standard, defines CGs as “final products that have an extended life and are used by the company to manufacture a product, provide a service, or sell, store, and deliver merchandise. In financial accounting, capital goods are treated as fixed assets, for instance as plant, property, and equipment (PP&amp;E).” </w:t>
      </w:r>
    </w:p>
    <w:p w14:paraId="2EABEC78" w14:textId="77777777" w:rsidR="00F86C2F" w:rsidRPr="00BF7028" w:rsidRDefault="00F86C2F" w:rsidP="00F86C2F">
      <w:pPr>
        <w:pStyle w:val="BodyText"/>
        <w:rPr>
          <w:rFonts w:cstheme="minorHAnsi"/>
        </w:rPr>
      </w:pPr>
      <w:r w:rsidRPr="00BF7028">
        <w:rPr>
          <w:rFonts w:cstheme="minorHAnsi"/>
        </w:rPr>
        <w:t>As mentioned in the PG&amp;S subsection, companies should follow their own financial accounting procedures to determine whether to account for a purchased product as a capital good or as a purchased good or service. Companies should not double count emissions between both categories.</w:t>
      </w:r>
    </w:p>
    <w:p w14:paraId="149B7E8E" w14:textId="77777777" w:rsidR="00F86C2F" w:rsidRPr="00BF7028" w:rsidRDefault="00F86C2F" w:rsidP="00F86C2F">
      <w:pPr>
        <w:pStyle w:val="BodyText"/>
        <w:rPr>
          <w:rFonts w:cstheme="minorHAnsi"/>
        </w:rPr>
      </w:pPr>
      <w:r w:rsidRPr="00BF7028">
        <w:rPr>
          <w:rFonts w:cstheme="minorHAnsi"/>
        </w:rPr>
        <w:t xml:space="preserve">Accounting conflicts might arise between the default choices allocated to the different types of products in the methodology and the company’s procedures. In such situations (i.e., a given machinery or vehicle considered as a PG rather than a CG), the user should inform IAEG Work Group 3 (WG3) of the mismatch to help with methodological/tool improvement and, in the meantime, reporters should carefully select what seems to be the most appropriate category for the specific good, and document any assumptions associated with the allocation. </w:t>
      </w:r>
    </w:p>
    <w:p w14:paraId="2C52C196" w14:textId="77777777" w:rsidR="00F86C2F" w:rsidRDefault="00F86C2F" w:rsidP="00F86C2F">
      <w:pPr>
        <w:pStyle w:val="BodyText"/>
      </w:pPr>
      <w:r>
        <w:t xml:space="preserve"> </w:t>
      </w:r>
    </w:p>
    <w:p w14:paraId="7DD97393" w14:textId="77777777" w:rsidR="00BF7028" w:rsidRDefault="00BF7028">
      <w:pPr>
        <w:jc w:val="left"/>
        <w:rPr>
          <w:rFonts w:ascii="Cambria" w:eastAsia="Times New Roman" w:hAnsi="Cambria" w:cs="Times New Roman"/>
          <w:b/>
          <w:bCs/>
          <w:sz w:val="28"/>
          <w:szCs w:val="28"/>
          <w:highlight w:val="lightGray"/>
        </w:rPr>
      </w:pPr>
      <w:bookmarkStart w:id="17" w:name="_Toc27044767"/>
      <w:bookmarkStart w:id="18" w:name="_Toc32606085"/>
      <w:r>
        <w:rPr>
          <w:highlight w:val="lightGray"/>
        </w:rPr>
        <w:br w:type="page"/>
      </w:r>
    </w:p>
    <w:p w14:paraId="1A33D7AC" w14:textId="77777777" w:rsidR="00F86C2F" w:rsidRPr="00125093" w:rsidRDefault="00F86C2F" w:rsidP="00BF7028">
      <w:pPr>
        <w:pStyle w:val="Heading1"/>
      </w:pPr>
      <w:bookmarkStart w:id="19" w:name="_Toc80362434"/>
      <w:r w:rsidRPr="00BF7028">
        <w:lastRenderedPageBreak/>
        <w:t>Methodology</w:t>
      </w:r>
      <w:r w:rsidRPr="00770E55">
        <w:t xml:space="preserve"> overview</w:t>
      </w:r>
      <w:bookmarkEnd w:id="17"/>
      <w:bookmarkEnd w:id="18"/>
      <w:bookmarkEnd w:id="19"/>
    </w:p>
    <w:p w14:paraId="51E5B255" w14:textId="77777777" w:rsidR="00F86C2F" w:rsidRDefault="00F86C2F" w:rsidP="00BF7028">
      <w:pPr>
        <w:pStyle w:val="Heading2"/>
      </w:pPr>
      <w:bookmarkStart w:id="20" w:name="_Toc27044768"/>
      <w:bookmarkStart w:id="21" w:name="_Toc32606086"/>
      <w:bookmarkStart w:id="22" w:name="_Toc80362435"/>
      <w:bookmarkStart w:id="23" w:name="_Toc19220521"/>
      <w:r w:rsidRPr="00BF7028">
        <w:t>Available</w:t>
      </w:r>
      <w:r>
        <w:t xml:space="preserve"> approaches</w:t>
      </w:r>
      <w:bookmarkEnd w:id="20"/>
      <w:bookmarkEnd w:id="21"/>
      <w:bookmarkEnd w:id="22"/>
    </w:p>
    <w:p w14:paraId="73F74057" w14:textId="77777777" w:rsidR="00F86C2F" w:rsidRDefault="00F86C2F" w:rsidP="00BF7028">
      <w:r>
        <w:t>Two estimation approaches are available to users of the tool for estimating PG&amp;S and CG Scope 3 impacts: spend based and mass-based.</w:t>
      </w:r>
    </w:p>
    <w:p w14:paraId="6F6C4529" w14:textId="77777777" w:rsidR="00F86C2F" w:rsidRDefault="00F86C2F" w:rsidP="00BF7028">
      <w:r>
        <w:t xml:space="preserve">The Spend-based approach enables users to estimate GHG emissions based solely on the company’s expenditure data (i.e., purchase orders, general ledger, etc.). </w:t>
      </w:r>
      <w:r w:rsidRPr="00654EBC">
        <w:t xml:space="preserve">Spend-based </w:t>
      </w:r>
      <w:r>
        <w:t>estimations are</w:t>
      </w:r>
      <w:r w:rsidRPr="00654EBC">
        <w:t xml:space="preserve"> generally considered more straightforward and less effort intensive since </w:t>
      </w:r>
      <w:r>
        <w:t xml:space="preserve">PG&amp;S and CG </w:t>
      </w:r>
      <w:r w:rsidRPr="00654EBC">
        <w:t xml:space="preserve">expenditure data </w:t>
      </w:r>
      <w:r>
        <w:t>are</w:t>
      </w:r>
      <w:r w:rsidRPr="00654EBC">
        <w:t xml:space="preserve"> usually readily available in companies. However, results obtained using this approach generally tend to have a low</w:t>
      </w:r>
      <w:r>
        <w:t>er</w:t>
      </w:r>
      <w:r w:rsidRPr="00654EBC">
        <w:t xml:space="preserve"> accuracy</w:t>
      </w:r>
      <w:r>
        <w:t xml:space="preserve"> than mass-based or life cycle assessment approaches</w:t>
      </w:r>
      <w:r w:rsidRPr="00654EBC">
        <w:t>.</w:t>
      </w:r>
    </w:p>
    <w:p w14:paraId="27A623F7" w14:textId="77777777" w:rsidR="00F86C2F" w:rsidRDefault="00F86C2F" w:rsidP="00BF7028">
      <w:r>
        <w:t xml:space="preserve">The Mass-based approach allows users to base their calculations mostly on physical characteristics such as the mass breakdown of products to achieve a more accurate GHG assessment. The mass-based approach is usually effort intensive since data on the mass breakdown of products is generally not as readily available as spend-based data and generating it usually requires more resources. On the upside, this approach is generally considered to be more accurate than the spend-based one. </w:t>
      </w:r>
    </w:p>
    <w:p w14:paraId="2BBE8E21" w14:textId="77777777" w:rsidR="00F86C2F" w:rsidRDefault="00F86C2F" w:rsidP="00BF7028">
      <w:r>
        <w:t xml:space="preserve">A third and even more accurate calculation option is a life cycle assessment (LCA) for each product. </w:t>
      </w:r>
      <w:r w:rsidR="00BF7028">
        <w:t>However,</w:t>
      </w:r>
      <w:r>
        <w:t xml:space="preserve"> a LCA is usually highly resources and time intensive and requires special software and/or information technology tools.</w:t>
      </w:r>
    </w:p>
    <w:p w14:paraId="485F41D5" w14:textId="77777777" w:rsidR="00F86C2F" w:rsidRDefault="00F86C2F" w:rsidP="00BF7028">
      <w:r>
        <w:t xml:space="preserve">The choice of approach depends in part on the company’s experience, or maturity, with GHG emissions quantification because the analyses for these different approaches involve varying levels of complexity. </w:t>
      </w:r>
      <w:r>
        <w:fldChar w:fldCharType="begin"/>
      </w:r>
      <w:r>
        <w:instrText xml:space="preserve"> REF _Ref26519470 \h </w:instrText>
      </w:r>
      <w:r w:rsidR="00BF7028">
        <w:instrText xml:space="preserve"> \* MERGEFORMAT </w:instrText>
      </w:r>
      <w:r>
        <w:fldChar w:fldCharType="separate"/>
      </w:r>
      <w:r>
        <w:t xml:space="preserve">Figure </w:t>
      </w:r>
      <w:r>
        <w:rPr>
          <w:noProof/>
        </w:rPr>
        <w:t>1</w:t>
      </w:r>
      <w:r>
        <w:fldChar w:fldCharType="end"/>
      </w:r>
      <w:r>
        <w:t xml:space="preserve"> compares the approaches in terms of complexity and maturity.</w:t>
      </w:r>
    </w:p>
    <w:p w14:paraId="096D6AEA" w14:textId="77777777" w:rsidR="00F86C2F" w:rsidRDefault="00F86C2F" w:rsidP="00F86C2F">
      <w:pPr>
        <w:pStyle w:val="BodyText"/>
      </w:pPr>
    </w:p>
    <w:p w14:paraId="45AB4104" w14:textId="77777777" w:rsidR="00F86C2F" w:rsidRDefault="00F86C2F" w:rsidP="00BF7028">
      <w:pPr>
        <w:keepNext/>
        <w:jc w:val="center"/>
      </w:pPr>
      <w:r>
        <w:rPr>
          <w:noProof/>
        </w:rPr>
        <w:drawing>
          <wp:inline distT="0" distB="0" distL="0" distR="0" wp14:anchorId="608D427F" wp14:editId="263CDEAD">
            <wp:extent cx="3747972" cy="349567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309" b="2653"/>
                    <a:stretch/>
                  </pic:blipFill>
                  <pic:spPr bwMode="auto">
                    <a:xfrm>
                      <a:off x="0" y="0"/>
                      <a:ext cx="3755223" cy="3502438"/>
                    </a:xfrm>
                    <a:prstGeom prst="rect">
                      <a:avLst/>
                    </a:prstGeom>
                    <a:noFill/>
                    <a:ln>
                      <a:noFill/>
                    </a:ln>
                    <a:extLst>
                      <a:ext uri="{53640926-AAD7-44D8-BBD7-CCE9431645EC}">
                        <a14:shadowObscured xmlns:a14="http://schemas.microsoft.com/office/drawing/2010/main"/>
                      </a:ext>
                    </a:extLst>
                  </pic:spPr>
                </pic:pic>
              </a:graphicData>
            </a:graphic>
          </wp:inline>
        </w:drawing>
      </w:r>
    </w:p>
    <w:p w14:paraId="55E9FE29" w14:textId="77777777" w:rsidR="00F86C2F" w:rsidRPr="00356430" w:rsidRDefault="00F86C2F" w:rsidP="00BF7028">
      <w:pPr>
        <w:pStyle w:val="Caption"/>
        <w:jc w:val="center"/>
        <w:rPr>
          <w:sz w:val="22"/>
          <w:szCs w:val="22"/>
        </w:rPr>
      </w:pPr>
      <w:bookmarkStart w:id="24" w:name="_Ref26519470"/>
      <w:r>
        <w:t xml:space="preserve">Figure </w:t>
      </w:r>
      <w:r>
        <w:fldChar w:fldCharType="begin"/>
      </w:r>
      <w:r>
        <w:instrText xml:space="preserve"> SEQ Figure \* ARABIC </w:instrText>
      </w:r>
      <w:r>
        <w:fldChar w:fldCharType="separate"/>
      </w:r>
      <w:r>
        <w:rPr>
          <w:noProof/>
        </w:rPr>
        <w:t>1</w:t>
      </w:r>
      <w:r>
        <w:fldChar w:fldCharType="end"/>
      </w:r>
      <w:bookmarkEnd w:id="24"/>
      <w:r>
        <w:t>: Schematic of the available approaches with respect to maturity and complexity</w:t>
      </w:r>
    </w:p>
    <w:p w14:paraId="0CC83E38" w14:textId="77777777" w:rsidR="00F86C2F" w:rsidRPr="00654EBC" w:rsidRDefault="00F86C2F" w:rsidP="00F86C2F">
      <w:pPr>
        <w:pStyle w:val="BodyText"/>
      </w:pPr>
    </w:p>
    <w:p w14:paraId="79079D38" w14:textId="77777777" w:rsidR="00F86C2F" w:rsidRPr="008D0FA3" w:rsidRDefault="00F86C2F" w:rsidP="00BF7028">
      <w:pPr>
        <w:pStyle w:val="Heading2"/>
      </w:pPr>
      <w:bookmarkStart w:id="25" w:name="_Toc27044769"/>
      <w:bookmarkStart w:id="26" w:name="_Toc32606087"/>
      <w:bookmarkStart w:id="27" w:name="_Toc80362436"/>
      <w:r>
        <w:t>Main features of the methodology</w:t>
      </w:r>
      <w:bookmarkEnd w:id="23"/>
      <w:bookmarkEnd w:id="25"/>
      <w:bookmarkEnd w:id="26"/>
      <w:bookmarkEnd w:id="27"/>
    </w:p>
    <w:p w14:paraId="342753FF" w14:textId="14512809" w:rsidR="00F86C2F" w:rsidRPr="00A71658" w:rsidRDefault="00F86C2F" w:rsidP="00BF7028">
      <w:pPr>
        <w:rPr>
          <w:rFonts w:cstheme="minorHAnsi"/>
        </w:rPr>
      </w:pPr>
      <w:r w:rsidRPr="00A71658">
        <w:rPr>
          <w:rFonts w:cstheme="minorHAnsi"/>
        </w:rPr>
        <w:t>The goal of this methodology is to offer aerospace companies a way of quantifying GHG emissions while accounting for</w:t>
      </w:r>
      <w:r w:rsidRPr="00A71658">
        <w:rPr>
          <w:rFonts w:eastAsia="Century Gothic" w:cstheme="minorHAnsi"/>
        </w:rPr>
        <w:t xml:space="preserve"> the varying operational capabilities among companies</w:t>
      </w:r>
      <w:r w:rsidRPr="00A71658">
        <w:rPr>
          <w:rFonts w:cstheme="minorHAnsi"/>
        </w:rPr>
        <w:t xml:space="preserve">. </w:t>
      </w:r>
      <w:r w:rsidRPr="00A71658">
        <w:rPr>
          <w:rFonts w:eastAsia="Century Gothic" w:cstheme="minorHAnsi"/>
        </w:rPr>
        <w:t>A three</w:t>
      </w:r>
      <w:r w:rsidR="006550F8">
        <w:rPr>
          <w:rFonts w:eastAsia="Century Gothic" w:cstheme="minorHAnsi"/>
        </w:rPr>
        <w:t>-</w:t>
      </w:r>
      <w:r w:rsidRPr="00A71658">
        <w:rPr>
          <w:rFonts w:eastAsia="Century Gothic" w:cstheme="minorHAnsi"/>
        </w:rPr>
        <w:t>approach methodology was developed where users of the methodology are invited to choose among three ways to calculate their emissions</w:t>
      </w:r>
      <w:r w:rsidRPr="00A71658">
        <w:rPr>
          <w:rFonts w:cstheme="minorHAnsi"/>
        </w:rPr>
        <w:t>. The selection of the appropriate approach depends on the familiarity of the user with Scope 3 accounting, the level of accuracy required, the data available to the user and the human resources available for data collection.</w:t>
      </w:r>
    </w:p>
    <w:p w14:paraId="63CE31C8" w14:textId="77777777" w:rsidR="00F86C2F" w:rsidRPr="00A71658" w:rsidRDefault="00F86C2F" w:rsidP="00BF7028">
      <w:pPr>
        <w:rPr>
          <w:rFonts w:eastAsia="Century Gothic" w:cstheme="minorHAnsi"/>
        </w:rPr>
      </w:pPr>
      <w:r w:rsidRPr="00A71658">
        <w:rPr>
          <w:rFonts w:eastAsia="Century Gothic" w:cstheme="minorHAnsi"/>
        </w:rPr>
        <w:t>The three approaches are “Spend-based”, “Hybrid” and “Mass-based”.</w:t>
      </w:r>
    </w:p>
    <w:p w14:paraId="78589ED1" w14:textId="77777777" w:rsidR="00BF7028" w:rsidRPr="00A71658" w:rsidRDefault="00F86C2F" w:rsidP="00BF7028">
      <w:pPr>
        <w:pStyle w:val="ListParagraph"/>
        <w:numPr>
          <w:ilvl w:val="0"/>
          <w:numId w:val="17"/>
        </w:numPr>
        <w:rPr>
          <w:rFonts w:eastAsia="Century Gothic" w:cstheme="minorHAnsi"/>
        </w:rPr>
      </w:pPr>
      <w:r w:rsidRPr="00A71658">
        <w:rPr>
          <w:rFonts w:eastAsia="Century Gothic" w:cstheme="minorHAnsi"/>
        </w:rPr>
        <w:t>The Spend-based approach enables users to estimate GHG emissions based solely on the company’s expenditure data (i.e., purchase orders, general ledger</w:t>
      </w:r>
      <w:r w:rsidR="00A71658" w:rsidRPr="00A71658">
        <w:rPr>
          <w:rFonts w:eastAsia="Century Gothic" w:cstheme="minorHAnsi"/>
        </w:rPr>
        <w:t>, etc</w:t>
      </w:r>
      <w:r w:rsidRPr="00A71658">
        <w:rPr>
          <w:rFonts w:eastAsia="Century Gothic" w:cstheme="minorHAnsi"/>
        </w:rPr>
        <w:t>.).</w:t>
      </w:r>
    </w:p>
    <w:p w14:paraId="7AD1BDF8" w14:textId="77777777" w:rsidR="00BF7028" w:rsidRPr="00A71658" w:rsidRDefault="00F86C2F" w:rsidP="00BF7028">
      <w:pPr>
        <w:pStyle w:val="ListParagraph"/>
        <w:numPr>
          <w:ilvl w:val="0"/>
          <w:numId w:val="17"/>
        </w:numPr>
        <w:rPr>
          <w:rFonts w:eastAsia="Century Gothic" w:cstheme="minorHAnsi"/>
        </w:rPr>
      </w:pPr>
      <w:r w:rsidRPr="00A71658">
        <w:rPr>
          <w:rFonts w:eastAsia="Century Gothic" w:cstheme="minorHAnsi"/>
        </w:rPr>
        <w:t>The Hybrid approach allows users to use a mix of both expenditure data and physical data for their analysis.</w:t>
      </w:r>
    </w:p>
    <w:p w14:paraId="5B71D1A5" w14:textId="77777777" w:rsidR="00F86C2F" w:rsidRPr="00A71658" w:rsidRDefault="00F86C2F" w:rsidP="00BF7028">
      <w:pPr>
        <w:pStyle w:val="ListParagraph"/>
        <w:numPr>
          <w:ilvl w:val="0"/>
          <w:numId w:val="17"/>
        </w:numPr>
        <w:rPr>
          <w:rFonts w:eastAsia="Century Gothic" w:cstheme="minorHAnsi"/>
        </w:rPr>
      </w:pPr>
      <w:r w:rsidRPr="00A71658">
        <w:rPr>
          <w:rFonts w:eastAsia="Century Gothic" w:cstheme="minorHAnsi"/>
        </w:rPr>
        <w:t>The Mass-based approach allows users to base their calculations mostly on physical characteristics such as the mass breakdown of products to achieve a more accurate GHG assessment.</w:t>
      </w:r>
    </w:p>
    <w:p w14:paraId="38849F34" w14:textId="77777777" w:rsidR="00F86C2F" w:rsidRPr="00857555" w:rsidRDefault="00F86C2F" w:rsidP="00BF7028">
      <w:r>
        <w:fldChar w:fldCharType="begin"/>
      </w:r>
      <w:r>
        <w:instrText xml:space="preserve"> REF _Ref32605326 \h </w:instrText>
      </w:r>
      <w:r w:rsidR="00BF7028">
        <w:instrText xml:space="preserve"> \* MERGEFORMAT </w:instrText>
      </w:r>
      <w:r>
        <w:fldChar w:fldCharType="separate"/>
      </w:r>
      <w:r>
        <w:t xml:space="preserve">Table </w:t>
      </w:r>
      <w:r>
        <w:rPr>
          <w:noProof/>
        </w:rPr>
        <w:t>1</w:t>
      </w:r>
      <w:r>
        <w:fldChar w:fldCharType="end"/>
      </w:r>
      <w:r>
        <w:t xml:space="preserve"> provides an overview of key features to facilitate the comparison between each approach’s strengths and weaknesses. </w:t>
      </w:r>
    </w:p>
    <w:p w14:paraId="52DC55D2" w14:textId="77777777" w:rsidR="00F86C2F" w:rsidRDefault="00F86C2F" w:rsidP="00BF7028">
      <w:pPr>
        <w:pStyle w:val="Caption"/>
        <w:jc w:val="center"/>
        <w:rPr>
          <w:sz w:val="22"/>
          <w:szCs w:val="22"/>
        </w:rPr>
      </w:pPr>
      <w:bookmarkStart w:id="28" w:name="_Ref32605326"/>
      <w:bookmarkStart w:id="29" w:name="_Ref19194655"/>
      <w:r>
        <w:t xml:space="preserve">Table </w:t>
      </w:r>
      <w:r>
        <w:fldChar w:fldCharType="begin"/>
      </w:r>
      <w:r>
        <w:instrText xml:space="preserve"> SEQ Table \* ARABIC </w:instrText>
      </w:r>
      <w:r>
        <w:fldChar w:fldCharType="separate"/>
      </w:r>
      <w:r>
        <w:rPr>
          <w:noProof/>
        </w:rPr>
        <w:t>1</w:t>
      </w:r>
      <w:r>
        <w:fldChar w:fldCharType="end"/>
      </w:r>
      <w:bookmarkEnd w:id="28"/>
      <w:r>
        <w:t>: overall presentation of the three approaches</w:t>
      </w:r>
      <w:bookmarkEnd w:id="29"/>
    </w:p>
    <w:tbl>
      <w:tblPr>
        <w:tblStyle w:val="LightShading-Accent1"/>
        <w:tblW w:w="0" w:type="auto"/>
        <w:jc w:val="center"/>
        <w:tblLook w:val="04A0" w:firstRow="1" w:lastRow="0" w:firstColumn="1" w:lastColumn="0" w:noHBand="0" w:noVBand="1"/>
      </w:tblPr>
      <w:tblGrid>
        <w:gridCol w:w="1800"/>
        <w:gridCol w:w="2369"/>
        <w:gridCol w:w="2084"/>
        <w:gridCol w:w="2085"/>
      </w:tblGrid>
      <w:tr w:rsidR="00F86C2F" w:rsidRPr="00C955C4" w14:paraId="5436DA7C" w14:textId="77777777" w:rsidTr="00A71658">
        <w:trPr>
          <w:cnfStyle w:val="100000000000" w:firstRow="1" w:lastRow="0" w:firstColumn="0" w:lastColumn="0" w:oddVBand="0" w:evenVBand="0" w:oddHBand="0"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76923C" w:themeColor="accent3" w:themeShade="BF"/>
              <w:left w:val="none" w:sz="0" w:space="0" w:color="auto"/>
              <w:bottom w:val="single" w:sz="4" w:space="0" w:color="76923C" w:themeColor="accent3" w:themeShade="BF"/>
              <w:right w:val="none" w:sz="0" w:space="0" w:color="auto"/>
            </w:tcBorders>
            <w:vAlign w:val="center"/>
          </w:tcPr>
          <w:p w14:paraId="69D54183" w14:textId="77777777" w:rsidR="00F86C2F" w:rsidRPr="00BF7028" w:rsidRDefault="00F86C2F" w:rsidP="00BF7028">
            <w:pPr>
              <w:jc w:val="left"/>
              <w:rPr>
                <w:color w:val="auto"/>
                <w:sz w:val="22"/>
                <w:szCs w:val="22"/>
              </w:rPr>
            </w:pPr>
            <w:r w:rsidRPr="00BF7028">
              <w:rPr>
                <w:color w:val="auto"/>
                <w:sz w:val="22"/>
                <w:szCs w:val="22"/>
              </w:rPr>
              <w:t>Approach</w:t>
            </w:r>
          </w:p>
        </w:tc>
        <w:tc>
          <w:tcPr>
            <w:tcW w:w="2369" w:type="dxa"/>
            <w:tcBorders>
              <w:top w:val="single" w:sz="4" w:space="0" w:color="76923C" w:themeColor="accent3" w:themeShade="BF"/>
              <w:left w:val="none" w:sz="0" w:space="0" w:color="auto"/>
              <w:bottom w:val="single" w:sz="4" w:space="0" w:color="76923C" w:themeColor="accent3" w:themeShade="BF"/>
              <w:right w:val="none" w:sz="0" w:space="0" w:color="auto"/>
            </w:tcBorders>
            <w:vAlign w:val="center"/>
          </w:tcPr>
          <w:p w14:paraId="353F31D5" w14:textId="77777777" w:rsidR="00F86C2F" w:rsidRPr="00BF7028" w:rsidRDefault="00F86C2F" w:rsidP="00C0000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 xml:space="preserve">Spend-based </w:t>
            </w:r>
          </w:p>
        </w:tc>
        <w:tc>
          <w:tcPr>
            <w:tcW w:w="2084" w:type="dxa"/>
            <w:tcBorders>
              <w:top w:val="single" w:sz="4" w:space="0" w:color="76923C" w:themeColor="accent3" w:themeShade="BF"/>
              <w:left w:val="none" w:sz="0" w:space="0" w:color="auto"/>
              <w:bottom w:val="single" w:sz="4" w:space="0" w:color="76923C" w:themeColor="accent3" w:themeShade="BF"/>
              <w:right w:val="none" w:sz="0" w:space="0" w:color="auto"/>
            </w:tcBorders>
            <w:vAlign w:val="center"/>
          </w:tcPr>
          <w:p w14:paraId="546779CA" w14:textId="77777777" w:rsidR="00F86C2F" w:rsidRPr="00BF7028" w:rsidRDefault="00F86C2F" w:rsidP="00C0000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Hybrid</w:t>
            </w:r>
          </w:p>
        </w:tc>
        <w:tc>
          <w:tcPr>
            <w:tcW w:w="2085" w:type="dxa"/>
            <w:tcBorders>
              <w:top w:val="single" w:sz="4" w:space="0" w:color="76923C" w:themeColor="accent3" w:themeShade="BF"/>
              <w:left w:val="none" w:sz="0" w:space="0" w:color="auto"/>
              <w:bottom w:val="single" w:sz="4" w:space="0" w:color="76923C" w:themeColor="accent3" w:themeShade="BF"/>
              <w:right w:val="none" w:sz="0" w:space="0" w:color="auto"/>
            </w:tcBorders>
            <w:vAlign w:val="center"/>
          </w:tcPr>
          <w:p w14:paraId="20B82A2E" w14:textId="77777777" w:rsidR="00F86C2F" w:rsidRPr="00BF7028" w:rsidRDefault="00F86C2F" w:rsidP="00C00005">
            <w:pPr>
              <w:keepNext/>
              <w:keepLines/>
              <w:outlineLvl w:val="5"/>
              <w:cnfStyle w:val="100000000000" w:firstRow="1"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 xml:space="preserve">Mass-based </w:t>
            </w:r>
          </w:p>
        </w:tc>
      </w:tr>
      <w:tr w:rsidR="00F86C2F" w:rsidRPr="00C955C4" w14:paraId="3A983F25" w14:textId="77777777" w:rsidTr="00A71658">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76923C" w:themeColor="accent3" w:themeShade="BF"/>
            </w:tcBorders>
            <w:shd w:val="clear" w:color="auto" w:fill="EAF1DD" w:themeFill="accent3" w:themeFillTint="33"/>
            <w:vAlign w:val="center"/>
          </w:tcPr>
          <w:p w14:paraId="5768B497" w14:textId="77777777" w:rsidR="00F86C2F" w:rsidRPr="00BF7028" w:rsidRDefault="00F86C2F" w:rsidP="00BF7028">
            <w:pPr>
              <w:jc w:val="left"/>
              <w:rPr>
                <w:color w:val="auto"/>
                <w:sz w:val="22"/>
                <w:szCs w:val="22"/>
              </w:rPr>
            </w:pPr>
            <w:r w:rsidRPr="00BF7028">
              <w:rPr>
                <w:color w:val="auto"/>
                <w:sz w:val="22"/>
                <w:szCs w:val="22"/>
              </w:rPr>
              <w:t>Accuracy</w:t>
            </w:r>
          </w:p>
        </w:tc>
        <w:tc>
          <w:tcPr>
            <w:tcW w:w="2369" w:type="dxa"/>
            <w:tcBorders>
              <w:top w:val="single" w:sz="4" w:space="0" w:color="76923C" w:themeColor="accent3" w:themeShade="BF"/>
            </w:tcBorders>
            <w:shd w:val="clear" w:color="auto" w:fill="EAF1DD" w:themeFill="accent3" w:themeFillTint="33"/>
            <w:vAlign w:val="center"/>
          </w:tcPr>
          <w:p w14:paraId="66E4F41F"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Low</w:t>
            </w:r>
          </w:p>
        </w:tc>
        <w:tc>
          <w:tcPr>
            <w:tcW w:w="2084" w:type="dxa"/>
            <w:tcBorders>
              <w:top w:val="single" w:sz="4" w:space="0" w:color="76923C" w:themeColor="accent3" w:themeShade="BF"/>
            </w:tcBorders>
            <w:shd w:val="clear" w:color="auto" w:fill="EAF1DD" w:themeFill="accent3" w:themeFillTint="33"/>
            <w:vAlign w:val="center"/>
          </w:tcPr>
          <w:p w14:paraId="78763F58"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Medium</w:t>
            </w:r>
          </w:p>
        </w:tc>
        <w:tc>
          <w:tcPr>
            <w:tcW w:w="2085" w:type="dxa"/>
            <w:tcBorders>
              <w:top w:val="single" w:sz="4" w:space="0" w:color="76923C" w:themeColor="accent3" w:themeShade="BF"/>
            </w:tcBorders>
            <w:shd w:val="clear" w:color="auto" w:fill="EAF1DD" w:themeFill="accent3" w:themeFillTint="33"/>
            <w:vAlign w:val="center"/>
          </w:tcPr>
          <w:p w14:paraId="6B691D5C"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Medium - High</w:t>
            </w:r>
          </w:p>
        </w:tc>
      </w:tr>
      <w:tr w:rsidR="00F86C2F" w:rsidRPr="00C955C4" w14:paraId="1D1FAA9C" w14:textId="77777777" w:rsidTr="00A71658">
        <w:trPr>
          <w:trHeight w:val="711"/>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7DBB377E" w14:textId="77777777" w:rsidR="00F86C2F" w:rsidRPr="00BF7028" w:rsidRDefault="00F86C2F" w:rsidP="00BF7028">
            <w:pPr>
              <w:jc w:val="left"/>
              <w:rPr>
                <w:color w:val="auto"/>
                <w:sz w:val="22"/>
                <w:szCs w:val="22"/>
              </w:rPr>
            </w:pPr>
            <w:r w:rsidRPr="00BF7028">
              <w:rPr>
                <w:color w:val="auto"/>
                <w:sz w:val="22"/>
                <w:szCs w:val="22"/>
              </w:rPr>
              <w:t>Granularity</w:t>
            </w:r>
          </w:p>
        </w:tc>
        <w:tc>
          <w:tcPr>
            <w:tcW w:w="2369" w:type="dxa"/>
            <w:vAlign w:val="center"/>
          </w:tcPr>
          <w:p w14:paraId="124CE0CD" w14:textId="77777777" w:rsidR="00F86C2F" w:rsidRPr="00BF7028" w:rsidRDefault="00F86C2F" w:rsidP="00C00005">
            <w:pPr>
              <w:keepNext/>
              <w:keepLines/>
              <w:outlineLvl w:val="5"/>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Low</w:t>
            </w:r>
          </w:p>
        </w:tc>
        <w:tc>
          <w:tcPr>
            <w:tcW w:w="2084" w:type="dxa"/>
            <w:vAlign w:val="center"/>
          </w:tcPr>
          <w:p w14:paraId="2A58CE0C" w14:textId="77777777" w:rsidR="00F86C2F" w:rsidRPr="00BF7028" w:rsidRDefault="00F86C2F" w:rsidP="00C00005">
            <w:pPr>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Low-medium</w:t>
            </w:r>
          </w:p>
        </w:tc>
        <w:tc>
          <w:tcPr>
            <w:tcW w:w="2085" w:type="dxa"/>
            <w:vAlign w:val="center"/>
          </w:tcPr>
          <w:p w14:paraId="2BE57754" w14:textId="77777777" w:rsidR="00F86C2F" w:rsidRPr="00BF7028" w:rsidRDefault="00F86C2F" w:rsidP="00C00005">
            <w:pPr>
              <w:keepNext/>
              <w:keepLines/>
              <w:outlineLvl w:val="5"/>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Medium - High</w:t>
            </w:r>
          </w:p>
        </w:tc>
      </w:tr>
      <w:tr w:rsidR="00F86C2F" w:rsidRPr="00C955C4" w14:paraId="545FCF2F" w14:textId="77777777" w:rsidTr="00A71658">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800" w:type="dxa"/>
            <w:tcBorders>
              <w:bottom w:val="nil"/>
            </w:tcBorders>
            <w:shd w:val="clear" w:color="auto" w:fill="EAF1DD" w:themeFill="accent3" w:themeFillTint="33"/>
            <w:vAlign w:val="center"/>
          </w:tcPr>
          <w:p w14:paraId="62E0D506" w14:textId="77777777" w:rsidR="00F86C2F" w:rsidRPr="00BF7028" w:rsidRDefault="00F86C2F" w:rsidP="00BF7028">
            <w:pPr>
              <w:jc w:val="left"/>
              <w:rPr>
                <w:color w:val="auto"/>
                <w:sz w:val="22"/>
                <w:szCs w:val="22"/>
              </w:rPr>
            </w:pPr>
            <w:r w:rsidRPr="00BF7028">
              <w:rPr>
                <w:color w:val="auto"/>
                <w:sz w:val="22"/>
                <w:szCs w:val="22"/>
              </w:rPr>
              <w:t>Data input complexity</w:t>
            </w:r>
          </w:p>
        </w:tc>
        <w:tc>
          <w:tcPr>
            <w:tcW w:w="2369" w:type="dxa"/>
            <w:tcBorders>
              <w:bottom w:val="nil"/>
            </w:tcBorders>
            <w:shd w:val="clear" w:color="auto" w:fill="EAF1DD" w:themeFill="accent3" w:themeFillTint="33"/>
            <w:vAlign w:val="center"/>
          </w:tcPr>
          <w:p w14:paraId="6659236A"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Low</w:t>
            </w:r>
          </w:p>
        </w:tc>
        <w:tc>
          <w:tcPr>
            <w:tcW w:w="2084" w:type="dxa"/>
            <w:tcBorders>
              <w:bottom w:val="nil"/>
            </w:tcBorders>
            <w:shd w:val="clear" w:color="auto" w:fill="EAF1DD" w:themeFill="accent3" w:themeFillTint="33"/>
            <w:vAlign w:val="center"/>
          </w:tcPr>
          <w:p w14:paraId="04B08A5B"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Medium</w:t>
            </w:r>
          </w:p>
        </w:tc>
        <w:tc>
          <w:tcPr>
            <w:tcW w:w="2085" w:type="dxa"/>
            <w:tcBorders>
              <w:bottom w:val="nil"/>
            </w:tcBorders>
            <w:shd w:val="clear" w:color="auto" w:fill="EAF1DD" w:themeFill="accent3" w:themeFillTint="33"/>
            <w:vAlign w:val="center"/>
          </w:tcPr>
          <w:p w14:paraId="03B8674E" w14:textId="77777777" w:rsidR="00F86C2F" w:rsidRPr="00BF7028" w:rsidRDefault="00F86C2F" w:rsidP="00C00005">
            <w:pPr>
              <w:keepNext/>
              <w:keepLines/>
              <w:outlineLvl w:val="5"/>
              <w:cnfStyle w:val="000000100000" w:firstRow="0" w:lastRow="0" w:firstColumn="0" w:lastColumn="0" w:oddVBand="0" w:evenVBand="0" w:oddHBand="1" w:evenHBand="0" w:firstRowFirstColumn="0" w:firstRowLastColumn="0" w:lastRowFirstColumn="0" w:lastRowLastColumn="0"/>
              <w:rPr>
                <w:color w:val="auto"/>
                <w:sz w:val="22"/>
                <w:szCs w:val="22"/>
              </w:rPr>
            </w:pPr>
            <w:r w:rsidRPr="00BF7028">
              <w:rPr>
                <w:color w:val="auto"/>
                <w:sz w:val="22"/>
                <w:szCs w:val="22"/>
              </w:rPr>
              <w:t>High</w:t>
            </w:r>
          </w:p>
        </w:tc>
      </w:tr>
      <w:tr w:rsidR="00F86C2F" w:rsidRPr="00C955C4" w14:paraId="7DDB4DE1" w14:textId="77777777" w:rsidTr="00A71658">
        <w:trPr>
          <w:trHeight w:val="711"/>
          <w:jc w:val="center"/>
        </w:trPr>
        <w:tc>
          <w:tcPr>
            <w:cnfStyle w:val="001000000000" w:firstRow="0" w:lastRow="0" w:firstColumn="1" w:lastColumn="0" w:oddVBand="0" w:evenVBand="0" w:oddHBand="0" w:evenHBand="0" w:firstRowFirstColumn="0" w:firstRowLastColumn="0" w:lastRowFirstColumn="0" w:lastRowLastColumn="0"/>
            <w:tcW w:w="1800" w:type="dxa"/>
            <w:tcBorders>
              <w:top w:val="nil"/>
              <w:bottom w:val="single" w:sz="4" w:space="0" w:color="76923C" w:themeColor="accent3" w:themeShade="BF"/>
            </w:tcBorders>
            <w:vAlign w:val="center"/>
          </w:tcPr>
          <w:p w14:paraId="7A9C3296" w14:textId="77777777" w:rsidR="00F86C2F" w:rsidRPr="00BF7028" w:rsidRDefault="00F86C2F" w:rsidP="00BF7028">
            <w:pPr>
              <w:jc w:val="left"/>
              <w:rPr>
                <w:color w:val="auto"/>
                <w:sz w:val="22"/>
                <w:szCs w:val="22"/>
              </w:rPr>
            </w:pPr>
            <w:r w:rsidRPr="00BF7028">
              <w:rPr>
                <w:color w:val="auto"/>
                <w:sz w:val="22"/>
                <w:szCs w:val="22"/>
              </w:rPr>
              <w:t>Estimated level of effort</w:t>
            </w:r>
          </w:p>
        </w:tc>
        <w:tc>
          <w:tcPr>
            <w:tcW w:w="2369" w:type="dxa"/>
            <w:tcBorders>
              <w:top w:val="nil"/>
              <w:bottom w:val="single" w:sz="4" w:space="0" w:color="76923C" w:themeColor="accent3" w:themeShade="BF"/>
            </w:tcBorders>
            <w:vAlign w:val="center"/>
          </w:tcPr>
          <w:p w14:paraId="554D8FA4" w14:textId="77777777" w:rsidR="00F86C2F" w:rsidRPr="00BF7028" w:rsidRDefault="00F86C2F" w:rsidP="00C00005">
            <w:pPr>
              <w:keepNext/>
              <w:keepLines/>
              <w:outlineLvl w:val="5"/>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A few hours</w:t>
            </w:r>
          </w:p>
        </w:tc>
        <w:tc>
          <w:tcPr>
            <w:tcW w:w="2084" w:type="dxa"/>
            <w:tcBorders>
              <w:top w:val="nil"/>
              <w:bottom w:val="single" w:sz="4" w:space="0" w:color="76923C" w:themeColor="accent3" w:themeShade="BF"/>
            </w:tcBorders>
            <w:vAlign w:val="center"/>
          </w:tcPr>
          <w:p w14:paraId="1B8C56D4" w14:textId="77777777" w:rsidR="00F86C2F" w:rsidRPr="00BF7028" w:rsidRDefault="00F86C2F" w:rsidP="00C00005">
            <w:pPr>
              <w:keepNext/>
              <w:keepLines/>
              <w:outlineLvl w:val="5"/>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A few days</w:t>
            </w:r>
          </w:p>
        </w:tc>
        <w:tc>
          <w:tcPr>
            <w:tcW w:w="2085" w:type="dxa"/>
            <w:tcBorders>
              <w:top w:val="nil"/>
              <w:bottom w:val="single" w:sz="4" w:space="0" w:color="76923C" w:themeColor="accent3" w:themeShade="BF"/>
            </w:tcBorders>
            <w:vAlign w:val="center"/>
          </w:tcPr>
          <w:p w14:paraId="71EBCB18" w14:textId="77777777" w:rsidR="00F86C2F" w:rsidRPr="00BF7028" w:rsidRDefault="00F86C2F" w:rsidP="00C00005">
            <w:pPr>
              <w:keepNext/>
              <w:keepLines/>
              <w:outlineLvl w:val="5"/>
              <w:cnfStyle w:val="000000000000" w:firstRow="0" w:lastRow="0" w:firstColumn="0" w:lastColumn="0" w:oddVBand="0" w:evenVBand="0" w:oddHBand="0" w:evenHBand="0" w:firstRowFirstColumn="0" w:firstRowLastColumn="0" w:lastRowFirstColumn="0" w:lastRowLastColumn="0"/>
              <w:rPr>
                <w:color w:val="auto"/>
                <w:sz w:val="22"/>
                <w:szCs w:val="22"/>
              </w:rPr>
            </w:pPr>
            <w:r w:rsidRPr="00BF7028">
              <w:rPr>
                <w:color w:val="auto"/>
                <w:sz w:val="22"/>
                <w:szCs w:val="22"/>
              </w:rPr>
              <w:t>A few weeks</w:t>
            </w:r>
          </w:p>
        </w:tc>
      </w:tr>
    </w:tbl>
    <w:p w14:paraId="61479BCF" w14:textId="77777777" w:rsidR="00F86C2F" w:rsidRPr="00A61B8D" w:rsidRDefault="00F86C2F" w:rsidP="00F86C2F"/>
    <w:p w14:paraId="133143C5" w14:textId="77777777" w:rsidR="00F86C2F" w:rsidRDefault="00F86C2F" w:rsidP="00A71658">
      <w:pPr>
        <w:pStyle w:val="Heading2"/>
      </w:pPr>
      <w:bookmarkStart w:id="30" w:name="_Ref25851095"/>
      <w:bookmarkStart w:id="31" w:name="_Toc27044770"/>
      <w:bookmarkStart w:id="32" w:name="_Toc32606088"/>
      <w:bookmarkStart w:id="33" w:name="_Toc80362437"/>
      <w:r>
        <w:t>Purchased Goods &amp; Services categories for the purpose of GHG accounting</w:t>
      </w:r>
      <w:bookmarkEnd w:id="30"/>
      <w:bookmarkEnd w:id="31"/>
      <w:bookmarkEnd w:id="32"/>
      <w:bookmarkEnd w:id="33"/>
    </w:p>
    <w:p w14:paraId="6401A1CC" w14:textId="6ACDD969" w:rsidR="00F86C2F" w:rsidRDefault="00F86C2F" w:rsidP="00A71658">
      <w:r>
        <w:t xml:space="preserve">Purchased goods and services are classified into 16 categories relevant to the aerospace and defense industry value chain, organized into 4 general groups. The categories are the same across all 3 approaches of this methodology, but the granularity and type of </w:t>
      </w:r>
      <w:r w:rsidR="006550F8">
        <w:t>Emissions Factor (</w:t>
      </w:r>
      <w:r>
        <w:t>EF</w:t>
      </w:r>
      <w:r w:rsidR="006550F8">
        <w:t>)</w:t>
      </w:r>
      <w:r>
        <w:t xml:space="preserve"> in each category vary between approaches.</w:t>
      </w:r>
    </w:p>
    <w:p w14:paraId="2DA90905" w14:textId="77777777" w:rsidR="00F86C2F" w:rsidRDefault="00F86C2F" w:rsidP="00A71658">
      <w:r>
        <w:fldChar w:fldCharType="begin"/>
      </w:r>
      <w:r>
        <w:instrText xml:space="preserve"> REF _Ref26511046 \h </w:instrText>
      </w:r>
      <w:r w:rsidR="00A71658">
        <w:instrText xml:space="preserve"> \* MERGEFORMAT </w:instrText>
      </w:r>
      <w:r>
        <w:fldChar w:fldCharType="separate"/>
      </w:r>
      <w:r>
        <w:t xml:space="preserve">Table </w:t>
      </w:r>
      <w:r>
        <w:rPr>
          <w:noProof/>
        </w:rPr>
        <w:t>2</w:t>
      </w:r>
      <w:r>
        <w:fldChar w:fldCharType="end"/>
      </w:r>
      <w:r>
        <w:t xml:space="preserve"> shows the organization of groups / categories and subcategories as well as the type of EF that are available for each subcategory.</w:t>
      </w:r>
    </w:p>
    <w:p w14:paraId="48CBCC99" w14:textId="77777777" w:rsidR="00F86C2F" w:rsidRDefault="00F86C2F" w:rsidP="00A71658">
      <w:pPr>
        <w:pStyle w:val="Caption"/>
        <w:keepNext/>
        <w:jc w:val="center"/>
      </w:pPr>
      <w:bookmarkStart w:id="34" w:name="_Ref26511046"/>
      <w:r>
        <w:lastRenderedPageBreak/>
        <w:t xml:space="preserve">Table </w:t>
      </w:r>
      <w:r>
        <w:fldChar w:fldCharType="begin"/>
      </w:r>
      <w:r>
        <w:instrText xml:space="preserve"> SEQ Table \* ARABIC </w:instrText>
      </w:r>
      <w:r>
        <w:fldChar w:fldCharType="separate"/>
      </w:r>
      <w:r>
        <w:rPr>
          <w:noProof/>
        </w:rPr>
        <w:t>2</w:t>
      </w:r>
      <w:r>
        <w:fldChar w:fldCharType="end"/>
      </w:r>
      <w:bookmarkEnd w:id="34"/>
      <w:r>
        <w:t>: Categorization of PG&amp;S</w:t>
      </w:r>
    </w:p>
    <w:p w14:paraId="4D74E3DF" w14:textId="77777777" w:rsidR="00F86C2F" w:rsidRDefault="00F86C2F" w:rsidP="00F86C2F">
      <w:pPr>
        <w:pStyle w:val="Caption"/>
        <w:rPr>
          <w:sz w:val="22"/>
          <w:szCs w:val="22"/>
        </w:rPr>
      </w:pPr>
      <w:r>
        <w:rPr>
          <w:noProof/>
        </w:rPr>
        <w:drawing>
          <wp:inline distT="0" distB="0" distL="0" distR="0" wp14:anchorId="083752D7" wp14:editId="4D71BA3A">
            <wp:extent cx="5775974" cy="3537242"/>
            <wp:effectExtent l="0" t="0" r="0" b="0"/>
            <wp:docPr id="16104439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rcRect r="2649"/>
                    <a:stretch>
                      <a:fillRect/>
                    </a:stretch>
                  </pic:blipFill>
                  <pic:spPr>
                    <a:xfrm>
                      <a:off x="0" y="0"/>
                      <a:ext cx="5775974" cy="3537242"/>
                    </a:xfrm>
                    <a:prstGeom prst="rect">
                      <a:avLst/>
                    </a:prstGeom>
                  </pic:spPr>
                </pic:pic>
              </a:graphicData>
            </a:graphic>
          </wp:inline>
        </w:drawing>
      </w:r>
      <w:r w:rsidRPr="0DEABF8E">
        <w:rPr>
          <w:noProof/>
          <w:lang w:eastAsia="fr-FR"/>
        </w:rPr>
        <w:t xml:space="preserve"> </w:t>
      </w:r>
    </w:p>
    <w:p w14:paraId="1856B722" w14:textId="77777777" w:rsidR="00F86C2F" w:rsidRPr="005B00D0" w:rsidRDefault="00F86C2F" w:rsidP="00F86C2F"/>
    <w:p w14:paraId="51BC5404" w14:textId="77777777" w:rsidR="00F86C2F" w:rsidRDefault="00F86C2F" w:rsidP="00A71658">
      <w:pPr>
        <w:pStyle w:val="Heading2"/>
      </w:pPr>
      <w:bookmarkStart w:id="35" w:name="_Toc25698358"/>
      <w:bookmarkStart w:id="36" w:name="_Toc25698359"/>
      <w:bookmarkStart w:id="37" w:name="_Toc25698360"/>
      <w:bookmarkStart w:id="38" w:name="_Toc25698397"/>
      <w:bookmarkStart w:id="39" w:name="_Toc25698398"/>
      <w:bookmarkStart w:id="40" w:name="_Toc25698399"/>
      <w:bookmarkStart w:id="41" w:name="_Toc25698400"/>
      <w:bookmarkStart w:id="42" w:name="_Toc25698401"/>
      <w:bookmarkStart w:id="43" w:name="_Ref27473686"/>
      <w:bookmarkStart w:id="44" w:name="_Toc27044771"/>
      <w:bookmarkStart w:id="45" w:name="_Toc32606089"/>
      <w:bookmarkStart w:id="46" w:name="_Toc80362438"/>
      <w:bookmarkStart w:id="47" w:name="_Ref25851097"/>
      <w:bookmarkStart w:id="48" w:name="_Ref424285979"/>
      <w:bookmarkEnd w:id="35"/>
      <w:bookmarkEnd w:id="36"/>
      <w:bookmarkEnd w:id="37"/>
      <w:bookmarkEnd w:id="38"/>
      <w:bookmarkEnd w:id="39"/>
      <w:bookmarkEnd w:id="40"/>
      <w:bookmarkEnd w:id="41"/>
      <w:bookmarkEnd w:id="42"/>
      <w:r w:rsidRPr="00A71658">
        <w:t>Capital</w:t>
      </w:r>
      <w:r>
        <w:t xml:space="preserve"> Goods categories for the purpose of GHG accounting</w:t>
      </w:r>
      <w:bookmarkEnd w:id="43"/>
      <w:bookmarkEnd w:id="44"/>
      <w:bookmarkEnd w:id="45"/>
      <w:bookmarkEnd w:id="46"/>
    </w:p>
    <w:bookmarkEnd w:id="47"/>
    <w:p w14:paraId="40EFEDED" w14:textId="77777777" w:rsidR="00F86C2F" w:rsidRDefault="00F86C2F" w:rsidP="00F86C2F"/>
    <w:p w14:paraId="4F877A15" w14:textId="77777777" w:rsidR="00F86C2F" w:rsidRPr="00F8500A" w:rsidRDefault="00F86C2F" w:rsidP="00F86C2F">
      <w:r w:rsidRPr="00AA41CB">
        <w:fldChar w:fldCharType="begin"/>
      </w:r>
      <w:r w:rsidRPr="00AA41CB">
        <w:instrText xml:space="preserve"> REF _Ref26511093 \h </w:instrText>
      </w:r>
      <w:r>
        <w:instrText xml:space="preserve"> \* MERGEFORMAT </w:instrText>
      </w:r>
      <w:r w:rsidRPr="00AA41CB">
        <w:fldChar w:fldCharType="separate"/>
      </w:r>
      <w:r w:rsidRPr="009A169E">
        <w:t xml:space="preserve">Table </w:t>
      </w:r>
      <w:r w:rsidRPr="009A169E">
        <w:rPr>
          <w:noProof/>
        </w:rPr>
        <w:t>3</w:t>
      </w:r>
      <w:r w:rsidRPr="00AA41CB">
        <w:fldChar w:fldCharType="end"/>
      </w:r>
      <w:r w:rsidRPr="00AA41CB">
        <w:t xml:space="preserve"> shows the organization of proposed groups / categories and subcategories</w:t>
      </w:r>
      <w:r w:rsidRPr="47DBCB78">
        <w:t xml:space="preserve"> for CG.</w:t>
      </w:r>
    </w:p>
    <w:p w14:paraId="1B63616E" w14:textId="77777777" w:rsidR="00F86C2F" w:rsidRDefault="00F86C2F" w:rsidP="00F86C2F"/>
    <w:p w14:paraId="4E9D7EB8" w14:textId="77777777" w:rsidR="00F86C2F" w:rsidRDefault="00F86C2F" w:rsidP="00A71658">
      <w:pPr>
        <w:pStyle w:val="Caption"/>
        <w:keepNext/>
        <w:jc w:val="center"/>
      </w:pPr>
      <w:bookmarkStart w:id="49" w:name="_Ref26511093"/>
      <w:r>
        <w:t xml:space="preserve">Table </w:t>
      </w:r>
      <w:r>
        <w:fldChar w:fldCharType="begin"/>
      </w:r>
      <w:r>
        <w:instrText xml:space="preserve"> SEQ Table \* ARABIC </w:instrText>
      </w:r>
      <w:r>
        <w:fldChar w:fldCharType="separate"/>
      </w:r>
      <w:r>
        <w:rPr>
          <w:noProof/>
        </w:rPr>
        <w:t>3</w:t>
      </w:r>
      <w:r>
        <w:fldChar w:fldCharType="end"/>
      </w:r>
      <w:bookmarkEnd w:id="49"/>
      <w:r>
        <w:t>: Categorization of CG</w:t>
      </w:r>
    </w:p>
    <w:p w14:paraId="0B1336CF" w14:textId="77777777" w:rsidR="00F86C2F" w:rsidRDefault="00F86C2F" w:rsidP="00F86C2F">
      <w:pPr>
        <w:rPr>
          <w:rFonts w:asciiTheme="majorHAnsi" w:eastAsiaTheme="majorEastAsia" w:hAnsiTheme="majorHAnsi" w:cstheme="majorBidi"/>
          <w:b/>
          <w:bCs/>
          <w:color w:val="365F91" w:themeColor="accent1" w:themeShade="BF"/>
          <w:sz w:val="32"/>
          <w:szCs w:val="32"/>
        </w:rPr>
      </w:pPr>
      <w:r w:rsidRPr="007D0311">
        <w:rPr>
          <w:b/>
          <w:bCs/>
          <w:noProof/>
        </w:rPr>
        <w:drawing>
          <wp:inline distT="0" distB="0" distL="0" distR="0" wp14:anchorId="1F021EC9" wp14:editId="2F63C516">
            <wp:extent cx="5756910" cy="1161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161415"/>
                    </a:xfrm>
                    <a:prstGeom prst="rect">
                      <a:avLst/>
                    </a:prstGeom>
                  </pic:spPr>
                </pic:pic>
              </a:graphicData>
            </a:graphic>
          </wp:inline>
        </w:drawing>
      </w:r>
      <w:r w:rsidRPr="007D0311">
        <w:rPr>
          <w:b/>
          <w:bCs/>
        </w:rPr>
        <w:t xml:space="preserve"> </w:t>
      </w:r>
      <w:r>
        <w:rPr>
          <w:b/>
          <w:bCs/>
        </w:rPr>
        <w:br w:type="page"/>
      </w:r>
    </w:p>
    <w:p w14:paraId="7B2A4E21" w14:textId="77777777" w:rsidR="00F86C2F" w:rsidRDefault="00F86C2F" w:rsidP="00A71658">
      <w:pPr>
        <w:pStyle w:val="Heading1"/>
      </w:pPr>
      <w:bookmarkStart w:id="50" w:name="_Toc27044772"/>
      <w:bookmarkStart w:id="51" w:name="_Toc32606090"/>
      <w:bookmarkStart w:id="52" w:name="_Toc80362439"/>
      <w:bookmarkStart w:id="53" w:name="_Ref425776543"/>
      <w:r>
        <w:lastRenderedPageBreak/>
        <w:t>Step-by-step guide</w:t>
      </w:r>
      <w:bookmarkEnd w:id="50"/>
      <w:bookmarkEnd w:id="51"/>
      <w:bookmarkEnd w:id="52"/>
    </w:p>
    <w:p w14:paraId="21044B44" w14:textId="77777777" w:rsidR="00F86C2F" w:rsidRPr="00904906" w:rsidRDefault="00F86C2F" w:rsidP="00A71658">
      <w:r>
        <w:t>This section provides the instruction to guide the user through the use of the tool. In each section, references are made to the corresponding sheet in the Excel tool.</w:t>
      </w:r>
    </w:p>
    <w:p w14:paraId="3CC82C2C" w14:textId="77777777" w:rsidR="00F86C2F" w:rsidRPr="007C630A" w:rsidRDefault="00F86C2F" w:rsidP="00A71658">
      <w:pPr>
        <w:pStyle w:val="Heading2"/>
      </w:pPr>
      <w:bookmarkStart w:id="54" w:name="_Toc27044773"/>
      <w:bookmarkStart w:id="55" w:name="_Toc32606091"/>
      <w:bookmarkStart w:id="56" w:name="_Toc80362440"/>
      <w:r>
        <w:t>Getting familiar with the tool – “Read me” sheet</w:t>
      </w:r>
      <w:bookmarkEnd w:id="54"/>
      <w:bookmarkEnd w:id="55"/>
      <w:bookmarkEnd w:id="56"/>
    </w:p>
    <w:p w14:paraId="66535DDD" w14:textId="77777777" w:rsidR="00F86C2F" w:rsidRDefault="00F86C2F" w:rsidP="00A71658">
      <w:r>
        <w:t>The user should consult t</w:t>
      </w:r>
      <w:r w:rsidRPr="00493EC5">
        <w:t xml:space="preserve">he </w:t>
      </w:r>
      <w:r>
        <w:t xml:space="preserve">“Read me” sheet before starting an assessment as it </w:t>
      </w:r>
      <w:r w:rsidRPr="00857555">
        <w:t xml:space="preserve">contains all the necessary </w:t>
      </w:r>
      <w:r>
        <w:t xml:space="preserve">basic </w:t>
      </w:r>
      <w:r w:rsidRPr="00857555">
        <w:t>information to start</w:t>
      </w:r>
      <w:r>
        <w:t xml:space="preserve"> using the tool. In </w:t>
      </w:r>
      <w:r w:rsidR="00A71658">
        <w:t>particular,</w:t>
      </w:r>
      <w:r>
        <w:t xml:space="preserve"> it indicates:</w:t>
      </w:r>
    </w:p>
    <w:p w14:paraId="2744C4DF" w14:textId="77777777" w:rsidR="00F86C2F" w:rsidRDefault="00F86C2F" w:rsidP="00A71658">
      <w:pPr>
        <w:pStyle w:val="ListParagraph"/>
        <w:numPr>
          <w:ilvl w:val="0"/>
          <w:numId w:val="18"/>
        </w:numPr>
      </w:pPr>
      <w:r>
        <w:t>the significance of the color code;</w:t>
      </w:r>
    </w:p>
    <w:p w14:paraId="144173D5" w14:textId="77777777" w:rsidR="00F86C2F" w:rsidRDefault="00F86C2F" w:rsidP="00A71658">
      <w:pPr>
        <w:pStyle w:val="ListParagraph"/>
        <w:numPr>
          <w:ilvl w:val="0"/>
          <w:numId w:val="18"/>
        </w:numPr>
      </w:pPr>
      <w:r>
        <w:t>input cells and restricted (calculated) cells</w:t>
      </w:r>
    </w:p>
    <w:p w14:paraId="2E057D89" w14:textId="77777777" w:rsidR="00F86C2F" w:rsidRPr="007C630A" w:rsidRDefault="00F86C2F" w:rsidP="00A71658">
      <w:pPr>
        <w:pStyle w:val="Heading2"/>
      </w:pPr>
      <w:bookmarkStart w:id="57" w:name="_Toc32606092"/>
      <w:bookmarkStart w:id="58" w:name="_Toc80362441"/>
      <w:bookmarkStart w:id="59" w:name="_Toc27044774"/>
      <w:r>
        <w:t>Identifying the relevant assessment approach – “Decision tree” sheet -</w:t>
      </w:r>
      <w:bookmarkEnd w:id="57"/>
      <w:bookmarkEnd w:id="58"/>
      <w:r>
        <w:t xml:space="preserve"> </w:t>
      </w:r>
      <w:bookmarkEnd w:id="53"/>
      <w:bookmarkEnd w:id="59"/>
    </w:p>
    <w:p w14:paraId="23ADAB5E" w14:textId="77777777" w:rsidR="00F86C2F" w:rsidRPr="00A71658" w:rsidRDefault="00F86C2F" w:rsidP="00A71658">
      <w:r w:rsidRPr="00A71658">
        <w:t>Choosing the appropriate approach for each company depends on several factors: the familiarity of the user with Scope 3 accounting, the level of accuracy required, the data available to the user and the availability of the resources to collect data.</w:t>
      </w:r>
    </w:p>
    <w:p w14:paraId="5893EA45" w14:textId="77777777" w:rsidR="00F86C2F" w:rsidRPr="00A71658" w:rsidRDefault="00F86C2F" w:rsidP="00A71658">
      <w:r w:rsidRPr="00A71658">
        <w:rPr>
          <w:rFonts w:eastAsia="Century Gothic"/>
        </w:rPr>
        <w:t>The user should</w:t>
      </w:r>
      <w:r w:rsidRPr="00A71658">
        <w:t xml:space="preserve"> determine the assessment approach best suited for their needs, available resources, and available data</w:t>
      </w:r>
      <w:r w:rsidRPr="00A71658">
        <w:rPr>
          <w:rFonts w:eastAsia="Century Gothic"/>
        </w:rPr>
        <w:t xml:space="preserve"> based on the decision tree shown in </w:t>
      </w:r>
      <w:r w:rsidRPr="00A71658">
        <w:rPr>
          <w:rFonts w:eastAsia="Century Gothic"/>
        </w:rPr>
        <w:fldChar w:fldCharType="begin"/>
      </w:r>
      <w:r w:rsidRPr="00A71658">
        <w:rPr>
          <w:rFonts w:eastAsia="Century Gothic"/>
        </w:rPr>
        <w:instrText xml:space="preserve"> REF _Ref32605508 \h </w:instrText>
      </w:r>
      <w:r w:rsidR="00A71658">
        <w:rPr>
          <w:rFonts w:eastAsia="Century Gothic"/>
        </w:rPr>
        <w:instrText xml:space="preserve"> \* MERGEFORMAT </w:instrText>
      </w:r>
      <w:r w:rsidRPr="00A71658">
        <w:rPr>
          <w:rFonts w:eastAsia="Century Gothic"/>
        </w:rPr>
      </w:r>
      <w:r w:rsidRPr="00A71658">
        <w:rPr>
          <w:rFonts w:eastAsia="Century Gothic"/>
        </w:rPr>
        <w:fldChar w:fldCharType="separate"/>
      </w:r>
      <w:r w:rsidRPr="00A71658">
        <w:t xml:space="preserve">Figure </w:t>
      </w:r>
      <w:r w:rsidRPr="00A71658">
        <w:rPr>
          <w:noProof/>
        </w:rPr>
        <w:t>2</w:t>
      </w:r>
      <w:r w:rsidRPr="00A71658">
        <w:rPr>
          <w:rFonts w:eastAsia="Century Gothic"/>
        </w:rPr>
        <w:fldChar w:fldCharType="end"/>
      </w:r>
      <w:r w:rsidRPr="00A71658">
        <w:t>.</w:t>
      </w:r>
    </w:p>
    <w:p w14:paraId="3D8F50F4" w14:textId="77777777" w:rsidR="00F86C2F" w:rsidRDefault="00F86C2F" w:rsidP="00F86C2F">
      <w:r>
        <w:rPr>
          <w:noProof/>
        </w:rPr>
        <w:drawing>
          <wp:inline distT="0" distB="0" distL="0" distR="0" wp14:anchorId="218C9C16" wp14:editId="2A4CA939">
            <wp:extent cx="5736980" cy="3633421"/>
            <wp:effectExtent l="0" t="0" r="0" b="0"/>
            <wp:docPr id="213397254" name="Picture 21339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6980" cy="3633421"/>
                    </a:xfrm>
                    <a:prstGeom prst="rect">
                      <a:avLst/>
                    </a:prstGeom>
                  </pic:spPr>
                </pic:pic>
              </a:graphicData>
            </a:graphic>
          </wp:inline>
        </w:drawing>
      </w:r>
    </w:p>
    <w:p w14:paraId="3E216C18" w14:textId="77777777" w:rsidR="00F86C2F" w:rsidRDefault="00F86C2F" w:rsidP="00A71658">
      <w:pPr>
        <w:pStyle w:val="Caption"/>
        <w:jc w:val="center"/>
      </w:pPr>
      <w:bookmarkStart w:id="60" w:name="_Ref32605508"/>
      <w:bookmarkStart w:id="61" w:name="_Ref26519488"/>
      <w:r>
        <w:t xml:space="preserve">Figure </w:t>
      </w:r>
      <w:r>
        <w:fldChar w:fldCharType="begin"/>
      </w:r>
      <w:r>
        <w:instrText xml:space="preserve"> SEQ Figure \* ARABIC </w:instrText>
      </w:r>
      <w:r>
        <w:fldChar w:fldCharType="separate"/>
      </w:r>
      <w:r w:rsidR="00A71658">
        <w:rPr>
          <w:noProof/>
        </w:rPr>
        <w:t>2</w:t>
      </w:r>
      <w:r>
        <w:fldChar w:fldCharType="end"/>
      </w:r>
      <w:bookmarkEnd w:id="60"/>
      <w:r>
        <w:t>: Decision tree for the selection of the appropriate assessment approach</w:t>
      </w:r>
      <w:bookmarkEnd w:id="61"/>
    </w:p>
    <w:p w14:paraId="233CAB30" w14:textId="77777777" w:rsidR="00F86C2F" w:rsidRDefault="00F86C2F" w:rsidP="00F86C2F">
      <w:pPr>
        <w:pStyle w:val="BodyText"/>
      </w:pPr>
      <w:r>
        <w:t xml:space="preserve">In the </w:t>
      </w:r>
      <w:r w:rsidRPr="006550DD">
        <w:rPr>
          <w:b/>
          <w:bCs/>
          <w:i/>
          <w:iCs/>
        </w:rPr>
        <w:t>Decision Tree</w:t>
      </w:r>
      <w:r>
        <w:t xml:space="preserve"> sheet, answer the questions by “Yes” or “No” to identify the most relevant approach to the reporting company’s situation. Specify the year for which the analysis will be conducted.</w:t>
      </w:r>
    </w:p>
    <w:p w14:paraId="69801B70" w14:textId="77777777" w:rsidR="00F86C2F" w:rsidRDefault="00F86C2F" w:rsidP="00F86C2F">
      <w:pPr>
        <w:keepNext/>
      </w:pPr>
      <w:r w:rsidRPr="00031E21">
        <w:rPr>
          <w:noProof/>
        </w:rPr>
        <w:lastRenderedPageBreak/>
        <w:t xml:space="preserve"> </w:t>
      </w:r>
      <w:r w:rsidRPr="00402417">
        <w:rPr>
          <w:noProof/>
        </w:rPr>
        <w:drawing>
          <wp:inline distT="0" distB="0" distL="0" distR="0" wp14:anchorId="5A04B025" wp14:editId="00E65D60">
            <wp:extent cx="5756910" cy="4283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4283075"/>
                    </a:xfrm>
                    <a:prstGeom prst="rect">
                      <a:avLst/>
                    </a:prstGeom>
                  </pic:spPr>
                </pic:pic>
              </a:graphicData>
            </a:graphic>
          </wp:inline>
        </w:drawing>
      </w:r>
    </w:p>
    <w:p w14:paraId="72A99112" w14:textId="77777777" w:rsidR="00F86C2F" w:rsidRDefault="00F86C2F" w:rsidP="00A71658">
      <w:pPr>
        <w:pStyle w:val="Caption"/>
        <w:jc w:val="center"/>
      </w:pPr>
      <w:r>
        <w:t xml:space="preserve">Figure </w:t>
      </w:r>
      <w:r>
        <w:fldChar w:fldCharType="begin"/>
      </w:r>
      <w:r>
        <w:instrText xml:space="preserve"> SEQ Figure \* ARABIC </w:instrText>
      </w:r>
      <w:r>
        <w:fldChar w:fldCharType="separate"/>
      </w:r>
      <w:r w:rsidR="00A71658">
        <w:rPr>
          <w:noProof/>
        </w:rPr>
        <w:t>3</w:t>
      </w:r>
      <w:r>
        <w:fldChar w:fldCharType="end"/>
      </w:r>
      <w:r>
        <w:t>: Decision tree as displayed in the tool</w:t>
      </w:r>
    </w:p>
    <w:p w14:paraId="6E2F4344" w14:textId="77777777" w:rsidR="00F86C2F" w:rsidRPr="00857555" w:rsidRDefault="00F86C2F" w:rsidP="00F86C2F">
      <w:pPr>
        <w:pStyle w:val="BodyText"/>
      </w:pPr>
      <w:r w:rsidRPr="00031E21" w:rsidDel="000F5371">
        <w:t xml:space="preserve"> </w:t>
      </w:r>
    </w:p>
    <w:p w14:paraId="26347EEA" w14:textId="77777777" w:rsidR="00F86C2F" w:rsidRPr="007C630A" w:rsidRDefault="00F86C2F" w:rsidP="00A71658">
      <w:pPr>
        <w:pStyle w:val="Heading2"/>
      </w:pPr>
      <w:bookmarkStart w:id="62" w:name="_Toc32606093"/>
      <w:bookmarkStart w:id="63" w:name="_Toc80362442"/>
      <w:bookmarkStart w:id="64" w:name="_Toc27044775"/>
      <w:r>
        <w:t xml:space="preserve">Data </w:t>
      </w:r>
      <w:r w:rsidRPr="00A71658">
        <w:t>collection</w:t>
      </w:r>
      <w:bookmarkEnd w:id="62"/>
      <w:bookmarkEnd w:id="63"/>
      <w:r>
        <w:t xml:space="preserve"> </w:t>
      </w:r>
      <w:bookmarkEnd w:id="64"/>
    </w:p>
    <w:p w14:paraId="46F5B08C" w14:textId="77777777" w:rsidR="00F86C2F" w:rsidRPr="00493EC5" w:rsidRDefault="00F86C2F" w:rsidP="00A71658">
      <w:pPr>
        <w:pStyle w:val="Heading3"/>
      </w:pPr>
      <w:bookmarkStart w:id="65" w:name="_Toc27044776"/>
      <w:bookmarkStart w:id="66" w:name="_Toc32606094"/>
      <w:bookmarkStart w:id="67" w:name="_Toc80362443"/>
      <w:r>
        <w:t>Identifying data source</w:t>
      </w:r>
      <w:bookmarkEnd w:id="65"/>
      <w:bookmarkEnd w:id="66"/>
      <w:bookmarkEnd w:id="67"/>
    </w:p>
    <w:p w14:paraId="5A82C705" w14:textId="77777777" w:rsidR="00F86C2F" w:rsidRDefault="00F86C2F" w:rsidP="00A71658">
      <w:r>
        <w:t xml:space="preserve">To complete an assessment of Scope 3 emissions for PG&amp;S and CG, the user needs to first dedicate time for data collection. As presented in the previous paragraphs, the information needed for the calculations is either derived from </w:t>
      </w:r>
      <w:r w:rsidRPr="00857555">
        <w:rPr>
          <w:b/>
        </w:rPr>
        <w:t>spend-based</w:t>
      </w:r>
      <w:r>
        <w:t xml:space="preserve"> or </w:t>
      </w:r>
      <w:r w:rsidRPr="00857555">
        <w:rPr>
          <w:b/>
        </w:rPr>
        <w:t>mass-based data</w:t>
      </w:r>
      <w:r>
        <w:t xml:space="preserve">. </w:t>
      </w:r>
    </w:p>
    <w:p w14:paraId="6619F4B0" w14:textId="77777777" w:rsidR="00F86C2F" w:rsidRDefault="00F86C2F" w:rsidP="00A71658">
      <w:r w:rsidRPr="0036687E">
        <w:rPr>
          <w:b/>
        </w:rPr>
        <w:t>Spend-based data</w:t>
      </w:r>
      <w:r>
        <w:t xml:space="preserve"> are</w:t>
      </w:r>
      <w:r w:rsidRPr="00770E55">
        <w:t xml:space="preserve"> likely to be located in internal purchase databases within the company</w:t>
      </w:r>
      <w:r>
        <w:t>. The target dataset should account for 100% of Enterprise spend (or as close as possible), representing all in-scope company entities as per the GHG Protocol’s definition of operational boundary.</w:t>
      </w:r>
    </w:p>
    <w:p w14:paraId="0CCCF708" w14:textId="77777777" w:rsidR="00F86C2F" w:rsidRDefault="00F86C2F" w:rsidP="00A71658">
      <w:r>
        <w:rPr>
          <w:b/>
          <w:bCs/>
        </w:rPr>
        <w:t>M</w:t>
      </w:r>
      <w:r w:rsidRPr="006550DD">
        <w:rPr>
          <w:b/>
          <w:bCs/>
        </w:rPr>
        <w:t>ass-based data</w:t>
      </w:r>
      <w:r>
        <w:t xml:space="preserve"> are generally owned by dedicated teams within the company, such design, procurement, or production departments, as they often record information on raw materials or aerostructures. </w:t>
      </w:r>
    </w:p>
    <w:p w14:paraId="2E2DA162" w14:textId="77777777" w:rsidR="00F86C2F" w:rsidRPr="00493EC5" w:rsidRDefault="00F86C2F" w:rsidP="00A71658">
      <w:pPr>
        <w:pStyle w:val="Heading3"/>
      </w:pPr>
      <w:bookmarkStart w:id="68" w:name="_Toc32606095"/>
      <w:bookmarkStart w:id="69" w:name="_Toc80362444"/>
      <w:bookmarkStart w:id="70" w:name="_Toc27044777"/>
      <w:r>
        <w:t>Ensuring materiality in data collection</w:t>
      </w:r>
      <w:bookmarkEnd w:id="68"/>
      <w:bookmarkEnd w:id="69"/>
      <w:r>
        <w:t xml:space="preserve"> </w:t>
      </w:r>
      <w:bookmarkEnd w:id="70"/>
    </w:p>
    <w:p w14:paraId="2794FE46" w14:textId="77777777" w:rsidR="00F86C2F" w:rsidRDefault="00F86C2F" w:rsidP="00A71658">
      <w:r>
        <w:t xml:space="preserve">Aerospace reporters should aim to account for </w:t>
      </w:r>
      <w:r w:rsidRPr="00462D4B">
        <w:t xml:space="preserve">all </w:t>
      </w:r>
      <w:r>
        <w:t>PG&amp;S and CGs</w:t>
      </w:r>
      <w:r w:rsidRPr="00462D4B">
        <w:t xml:space="preserve"> goods </w:t>
      </w:r>
      <w:r>
        <w:t>from their operations</w:t>
      </w:r>
      <w:r w:rsidRPr="00462D4B">
        <w:t xml:space="preserve">. </w:t>
      </w:r>
      <w:r>
        <w:t>However, a</w:t>
      </w:r>
      <w:r w:rsidRPr="006550DD">
        <w:t>s explained in ISO/TR 14069, organi</w:t>
      </w:r>
      <w:r>
        <w:t>z</w:t>
      </w:r>
      <w:r w:rsidRPr="006550DD">
        <w:t xml:space="preserve">ations often have incomplete records of purchased goods. </w:t>
      </w:r>
      <w:r>
        <w:t>Therefore, ensuring the completeness of the data collection is often a challenge, especially when dealing with PG&amp;S and CG.</w:t>
      </w:r>
    </w:p>
    <w:p w14:paraId="19EB9CD2" w14:textId="77777777" w:rsidR="00F86C2F" w:rsidRPr="00462D4B" w:rsidRDefault="00F86C2F" w:rsidP="00A71658">
      <w:r w:rsidRPr="00462D4B">
        <w:lastRenderedPageBreak/>
        <w:t>To ensure an adequate level of accuracy, the reporting company should identify</w:t>
      </w:r>
      <w:r>
        <w:t xml:space="preserve"> </w:t>
      </w:r>
      <w:r w:rsidRPr="00462D4B">
        <w:t xml:space="preserve">subcategories that are </w:t>
      </w:r>
      <w:r>
        <w:t>likely to be the most significant</w:t>
      </w:r>
      <w:r w:rsidRPr="00462D4B">
        <w:t xml:space="preserve"> </w:t>
      </w:r>
      <w:r>
        <w:t xml:space="preserve">or material </w:t>
      </w:r>
      <w:r w:rsidRPr="00462D4B">
        <w:t xml:space="preserve">from a GHG emissions standpoint. </w:t>
      </w:r>
      <w:r>
        <w:t xml:space="preserve">Significant GHG emissions are defined in ISO14064:2018 whereas materiality is defined in the </w:t>
      </w:r>
      <w:r w:rsidRPr="009E3785">
        <w:t xml:space="preserve">GHG Protocol Corporate </w:t>
      </w:r>
      <w:r>
        <w:t>Value Chain Accounting and Reporting Standard</w:t>
      </w:r>
      <w:r w:rsidRPr="003E7037">
        <w:rPr>
          <w:rStyle w:val="FootnoteReference"/>
        </w:rPr>
        <w:footnoteReference w:id="2"/>
      </w:r>
      <w:r>
        <w:t xml:space="preserve">. </w:t>
      </w:r>
      <w:r w:rsidRPr="00462D4B">
        <w:t xml:space="preserve">For a company with </w:t>
      </w:r>
      <w:r>
        <w:t xml:space="preserve">limited or </w:t>
      </w:r>
      <w:r w:rsidRPr="00462D4B">
        <w:t xml:space="preserve">no previous experience in PG&amp;S GHG emissions estimation, </w:t>
      </w:r>
      <w:r>
        <w:t xml:space="preserve">performing </w:t>
      </w:r>
      <w:r w:rsidRPr="00462D4B">
        <w:t xml:space="preserve">an </w:t>
      </w:r>
      <w:r>
        <w:t xml:space="preserve">initial </w:t>
      </w:r>
      <w:r w:rsidRPr="00462D4B">
        <w:t xml:space="preserve">assessment of the PG&amp;S </w:t>
      </w:r>
      <w:r>
        <w:t xml:space="preserve">through the spend-based approach could help identify which emissions subcategories are significant or material. Should the reporting company decide to exclude sources of emissions, it must justify its decisions and demonstrate that the total economic value or total mass is inferior to a pre-defined exclusion threshold. </w:t>
      </w:r>
    </w:p>
    <w:p w14:paraId="7EEBF283" w14:textId="77777777" w:rsidR="00F86C2F" w:rsidRDefault="00F86C2F" w:rsidP="00A71658">
      <w:r>
        <w:t>T</w:t>
      </w:r>
      <w:r w:rsidRPr="006550DD">
        <w:t xml:space="preserve">he </w:t>
      </w:r>
      <w:r>
        <w:t xml:space="preserve">reporting </w:t>
      </w:r>
      <w:r w:rsidRPr="006550DD">
        <w:t>company should clearly describe which PG&amp;S</w:t>
      </w:r>
      <w:r>
        <w:t xml:space="preserve"> subcategories</w:t>
      </w:r>
      <w:r w:rsidRPr="006550DD">
        <w:t xml:space="preserve"> are taken into account</w:t>
      </w:r>
      <w:r>
        <w:t xml:space="preserve"> in the analysis. Similarly, it should state and justify the ones that are excluded</w:t>
      </w:r>
      <w:r w:rsidRPr="006550DD">
        <w:t xml:space="preserve"> and </w:t>
      </w:r>
      <w:r>
        <w:t>the extent to which</w:t>
      </w:r>
      <w:r w:rsidRPr="006550DD">
        <w:t xml:space="preserve"> </w:t>
      </w:r>
      <w:r>
        <w:t>it</w:t>
      </w:r>
      <w:r w:rsidRPr="006550DD">
        <w:t xml:space="preserve"> affect</w:t>
      </w:r>
      <w:r>
        <w:t>s</w:t>
      </w:r>
      <w:r w:rsidRPr="006550DD">
        <w:t xml:space="preserve"> the total GHG emissions. </w:t>
      </w:r>
    </w:p>
    <w:p w14:paraId="3CC37DB5" w14:textId="0879A7DB" w:rsidR="00F86C2F" w:rsidRDefault="00F86C2F" w:rsidP="00A71658">
      <w:r w:rsidRPr="009E3785">
        <w:t xml:space="preserve">To ensure </w:t>
      </w:r>
      <w:r>
        <w:t xml:space="preserve">data </w:t>
      </w:r>
      <w:r w:rsidRPr="009E3785">
        <w:t>quality, please refer to the Chapter on "Managing Inventory Quality" (</w:t>
      </w:r>
      <w:r w:rsidR="005774C5">
        <w:t>C</w:t>
      </w:r>
      <w:r w:rsidRPr="009E3785">
        <w:t>hapter 7) of the GHG Protocol Corporate Standard</w:t>
      </w:r>
      <w:r w:rsidRPr="0036687E">
        <w:rPr>
          <w:rStyle w:val="FootnoteReference"/>
        </w:rPr>
        <w:footnoteReference w:id="3"/>
      </w:r>
      <w:r>
        <w:t xml:space="preserve"> </w:t>
      </w:r>
      <w:r w:rsidRPr="009E3785">
        <w:t>which gives guidance on how to plan and implement a GHG Data Quality Management System.</w:t>
      </w:r>
    </w:p>
    <w:p w14:paraId="32BA54CF" w14:textId="77777777" w:rsidR="00F86C2F" w:rsidRPr="00493EC5" w:rsidRDefault="00F86C2F" w:rsidP="00A71658">
      <w:pPr>
        <w:pStyle w:val="Heading3"/>
      </w:pPr>
      <w:bookmarkStart w:id="71" w:name="_Toc27044778"/>
      <w:bookmarkStart w:id="72" w:name="_Toc32606096"/>
      <w:bookmarkStart w:id="73" w:name="_Toc80362445"/>
      <w:r>
        <w:t xml:space="preserve">Data </w:t>
      </w:r>
      <w:r w:rsidRPr="00A71658">
        <w:t>tracking</w:t>
      </w:r>
      <w:bookmarkEnd w:id="71"/>
      <w:bookmarkEnd w:id="72"/>
      <w:bookmarkEnd w:id="73"/>
    </w:p>
    <w:p w14:paraId="31544AB0" w14:textId="77777777" w:rsidR="00F86C2F" w:rsidRPr="002755DC" w:rsidRDefault="00F86C2F" w:rsidP="00A71658">
      <w:r w:rsidRPr="002755DC">
        <w:t xml:space="preserve">The reporting company should keep records of the raw data used for the analysis </w:t>
      </w:r>
      <w:r>
        <w:t xml:space="preserve">to support any </w:t>
      </w:r>
      <w:r w:rsidRPr="002755DC">
        <w:t>audit or verification process</w:t>
      </w:r>
      <w:r>
        <w:t>, and to promote comparability of results across successive years</w:t>
      </w:r>
      <w:r w:rsidRPr="002755DC">
        <w:t xml:space="preserve">. Note that the accuracy of the overall analysis is highly dependent on the </w:t>
      </w:r>
      <w:r>
        <w:t xml:space="preserve">accuracy and completeness of the </w:t>
      </w:r>
      <w:r w:rsidRPr="002755DC">
        <w:t xml:space="preserve">collected </w:t>
      </w:r>
      <w:r>
        <w:t xml:space="preserve">input </w:t>
      </w:r>
      <w:r w:rsidRPr="002755DC">
        <w:t xml:space="preserve">data. </w:t>
      </w:r>
    </w:p>
    <w:p w14:paraId="09C21257" w14:textId="77777777" w:rsidR="00F86C2F" w:rsidRPr="002755DC" w:rsidRDefault="00F86C2F" w:rsidP="00A71658">
      <w:r>
        <w:t>T</w:t>
      </w:r>
      <w:r w:rsidRPr="002755DC">
        <w:t>he reporting company should</w:t>
      </w:r>
      <w:r>
        <w:t xml:space="preserve"> especially</w:t>
      </w:r>
      <w:r w:rsidRPr="002755DC">
        <w:t xml:space="preserve"> keep a copy of the methodology and the tool used for assessing emissions from PG&amp;S </w:t>
      </w:r>
      <w:r>
        <w:t>and</w:t>
      </w:r>
      <w:r w:rsidRPr="002755DC">
        <w:t xml:space="preserve"> CG.</w:t>
      </w:r>
    </w:p>
    <w:p w14:paraId="75464342" w14:textId="77777777" w:rsidR="00F86C2F" w:rsidRPr="002755DC" w:rsidRDefault="00F86C2F" w:rsidP="00A71658">
      <w:r w:rsidRPr="002755DC">
        <w:t xml:space="preserve">The data that may be reviewed by an auditor include: </w:t>
      </w:r>
    </w:p>
    <w:p w14:paraId="238F28E6" w14:textId="77777777" w:rsidR="00F86C2F" w:rsidRPr="002755DC" w:rsidRDefault="00F86C2F" w:rsidP="00A71658">
      <w:pPr>
        <w:pStyle w:val="ListParagraph"/>
        <w:numPr>
          <w:ilvl w:val="0"/>
          <w:numId w:val="19"/>
        </w:numPr>
      </w:pPr>
      <w:r w:rsidRPr="002755DC">
        <w:t>Emission factors value, unit</w:t>
      </w:r>
      <w:r>
        <w:t>s,</w:t>
      </w:r>
      <w:r w:rsidRPr="002755DC">
        <w:t xml:space="preserve"> source</w:t>
      </w:r>
      <w:r>
        <w:t>s</w:t>
      </w:r>
      <w:r w:rsidRPr="002755DC">
        <w:t xml:space="preserve"> and year</w:t>
      </w:r>
      <w:r>
        <w:t>s</w:t>
      </w:r>
      <w:r w:rsidRPr="002755DC">
        <w:t>;</w:t>
      </w:r>
    </w:p>
    <w:p w14:paraId="4620C503" w14:textId="77777777" w:rsidR="00F86C2F" w:rsidRPr="002755DC" w:rsidRDefault="00F86C2F" w:rsidP="00A71658">
      <w:pPr>
        <w:pStyle w:val="ListParagraph"/>
        <w:numPr>
          <w:ilvl w:val="0"/>
          <w:numId w:val="19"/>
        </w:numPr>
      </w:pPr>
      <w:r w:rsidRPr="002755DC">
        <w:t>Emission factors computation formula (if they are computed);</w:t>
      </w:r>
    </w:p>
    <w:p w14:paraId="7232EC8A" w14:textId="77777777" w:rsidR="00F86C2F" w:rsidRPr="002755DC" w:rsidRDefault="00F86C2F" w:rsidP="00A71658">
      <w:pPr>
        <w:pStyle w:val="ListParagraph"/>
        <w:numPr>
          <w:ilvl w:val="0"/>
          <w:numId w:val="19"/>
        </w:numPr>
      </w:pPr>
      <w:r>
        <w:t>Spend or mass-based inputs.</w:t>
      </w:r>
    </w:p>
    <w:p w14:paraId="26A94BEB" w14:textId="77777777" w:rsidR="00F86C2F" w:rsidRDefault="00F86C2F" w:rsidP="00A71658">
      <w:pPr>
        <w:pStyle w:val="Heading2"/>
      </w:pPr>
      <w:bookmarkStart w:id="74" w:name="_Toc32606097"/>
      <w:bookmarkStart w:id="75" w:name="_Toc80362446"/>
      <w:bookmarkStart w:id="76" w:name="_Toc27044779"/>
      <w:r>
        <w:t>Filling with the inputs – “Import data” sheet</w:t>
      </w:r>
      <w:bookmarkEnd w:id="74"/>
      <w:bookmarkEnd w:id="75"/>
      <w:r>
        <w:t xml:space="preserve"> </w:t>
      </w:r>
      <w:bookmarkEnd w:id="76"/>
    </w:p>
    <w:p w14:paraId="47D22B7F" w14:textId="77777777" w:rsidR="00F86C2F" w:rsidRPr="007C630A" w:rsidRDefault="00F86C2F" w:rsidP="00A71658">
      <w:pPr>
        <w:pStyle w:val="Heading3"/>
      </w:pPr>
      <w:bookmarkStart w:id="77" w:name="_Toc27044780"/>
      <w:bookmarkStart w:id="78" w:name="_Toc32606098"/>
      <w:bookmarkStart w:id="79" w:name="_Toc80362447"/>
      <w:r>
        <w:t>Mapping categories</w:t>
      </w:r>
      <w:bookmarkEnd w:id="77"/>
      <w:bookmarkEnd w:id="78"/>
      <w:bookmarkEnd w:id="79"/>
    </w:p>
    <w:p w14:paraId="64DB78A8" w14:textId="77777777" w:rsidR="00F86C2F" w:rsidRDefault="00F86C2F" w:rsidP="00A71658">
      <w:r>
        <w:t xml:space="preserve">As a first step, it is recommended that the user become familiar with Table </w:t>
      </w:r>
      <w:r w:rsidR="00A71658">
        <w:t>2 and</w:t>
      </w:r>
      <w:r>
        <w:t xml:space="preserve"> </w:t>
      </w:r>
      <w:r>
        <w:fldChar w:fldCharType="begin"/>
      </w:r>
      <w:r>
        <w:instrText xml:space="preserve"> REF _Ref26511093 \h </w:instrText>
      </w:r>
      <w:r w:rsidR="00A71658">
        <w:instrText xml:space="preserve"> \* MERGEFORMAT </w:instrText>
      </w:r>
      <w:r>
        <w:fldChar w:fldCharType="separate"/>
      </w:r>
      <w:r>
        <w:t xml:space="preserve">Table </w:t>
      </w:r>
      <w:r>
        <w:rPr>
          <w:noProof/>
        </w:rPr>
        <w:t>3</w:t>
      </w:r>
      <w:r>
        <w:fldChar w:fldCharType="end"/>
      </w:r>
      <w:r>
        <w:t xml:space="preserve">. For more detailed information on available emission factors (EFs), the user can also refer to the GHG emissions calculation sheet of the tool. </w:t>
      </w:r>
    </w:p>
    <w:p w14:paraId="52B0B6D9" w14:textId="77777777" w:rsidR="00F86C2F" w:rsidRDefault="00F86C2F" w:rsidP="00A71658">
      <w:r>
        <w:t>Users must then determine a mapping from</w:t>
      </w:r>
      <w:r w:rsidRPr="00E5303C">
        <w:t xml:space="preserve"> each internal purchasing category</w:t>
      </w:r>
      <w:r>
        <w:t xml:space="preserve"> to</w:t>
      </w:r>
      <w:r w:rsidRPr="00E5303C">
        <w:t xml:space="preserve"> a</w:t>
      </w:r>
      <w:r>
        <w:t>n appropriate</w:t>
      </w:r>
      <w:r w:rsidRPr="00E5303C">
        <w:t xml:space="preserve"> corresponding subcategory of </w:t>
      </w:r>
      <w:r>
        <w:t xml:space="preserve">the </w:t>
      </w:r>
      <w:r w:rsidRPr="00E5303C">
        <w:t xml:space="preserve">IAEG </w:t>
      </w:r>
      <w:r>
        <w:t xml:space="preserve">Scope 3 </w:t>
      </w:r>
      <w:r w:rsidRPr="00E5303C">
        <w:t>methodology. This ma</w:t>
      </w:r>
      <w:r>
        <w:t>pping</w:t>
      </w:r>
      <w:r w:rsidRPr="00E5303C">
        <w:t xml:space="preserve"> activity is initially done the first time the methodology is used </w:t>
      </w:r>
      <w:r>
        <w:t xml:space="preserve">and </w:t>
      </w:r>
      <w:r w:rsidRPr="00E5303C">
        <w:t xml:space="preserve">is a prerequisite </w:t>
      </w:r>
      <w:r>
        <w:t>for</w:t>
      </w:r>
      <w:r w:rsidRPr="00E5303C">
        <w:t xml:space="preserve"> the first assessment of PG&amp;S and CG emissions. </w:t>
      </w:r>
      <w:r>
        <w:t>This process</w:t>
      </w:r>
      <w:r w:rsidRPr="00E5303C">
        <w:t xml:space="preserve"> should be </w:t>
      </w:r>
      <w:r>
        <w:t>repeated</w:t>
      </w:r>
      <w:r w:rsidRPr="00E5303C">
        <w:t xml:space="preserve"> </w:t>
      </w:r>
      <w:r>
        <w:t>in subsequent assessments</w:t>
      </w:r>
      <w:r w:rsidRPr="00E5303C">
        <w:t xml:space="preserve"> on a case</w:t>
      </w:r>
      <w:r>
        <w:t>-by-</w:t>
      </w:r>
      <w:r w:rsidRPr="00E5303C">
        <w:t>case</w:t>
      </w:r>
      <w:r>
        <w:t xml:space="preserve"> basis</w:t>
      </w:r>
      <w:r w:rsidRPr="00E5303C">
        <w:t xml:space="preserve">, in </w:t>
      </w:r>
      <w:r w:rsidRPr="00E5303C">
        <w:lastRenderedPageBreak/>
        <w:t>particular when the purchas</w:t>
      </w:r>
      <w:r>
        <w:t>ing</w:t>
      </w:r>
      <w:r w:rsidRPr="00E5303C">
        <w:t xml:space="preserve"> databases evolve or when new subcategories are added to the methodology.</w:t>
      </w:r>
    </w:p>
    <w:p w14:paraId="6063794C" w14:textId="77777777" w:rsidR="00F86C2F" w:rsidRDefault="00F86C2F" w:rsidP="00A71658">
      <w:r>
        <w:t>The following subsection provides detailed instructions on the matching step.</w:t>
      </w:r>
    </w:p>
    <w:p w14:paraId="633149F9" w14:textId="77777777" w:rsidR="00F86C2F" w:rsidRDefault="00F86C2F" w:rsidP="00A71658">
      <w:r w:rsidRPr="0083634B">
        <w:t xml:space="preserve">In the </w:t>
      </w:r>
      <w:r w:rsidRPr="0083634B">
        <w:rPr>
          <w:b/>
          <w:i/>
        </w:rPr>
        <w:t>Import Data</w:t>
      </w:r>
      <w:r w:rsidRPr="0083634B">
        <w:t xml:space="preserve"> tab, fill in the required information for each group, both for PG&amp;S and CG</w:t>
      </w:r>
      <w:r>
        <w:t>.</w:t>
      </w:r>
    </w:p>
    <w:p w14:paraId="74EFCED7" w14:textId="77777777" w:rsidR="00F86C2F" w:rsidRDefault="00F86C2F" w:rsidP="00A71658">
      <w:pPr>
        <w:pStyle w:val="ListParagraph"/>
        <w:numPr>
          <w:ilvl w:val="0"/>
          <w:numId w:val="20"/>
        </w:numPr>
      </w:pPr>
      <w:r>
        <w:t>Fill in columns ‘Expenditure ID’ and ‘Expenditure label’ with the relevant information from the reporting company PG&amp;S database. Expenditure ID may be a unique identifier per line item such as (1), or PGS1, etc. Expenditure label may be the purchasing category label assigned in the reporting company’s expenditure data or supply chain report.</w:t>
      </w:r>
    </w:p>
    <w:p w14:paraId="2EDEF1D6" w14:textId="77777777" w:rsidR="00F86C2F" w:rsidRDefault="00F86C2F" w:rsidP="00A71658">
      <w:pPr>
        <w:keepNext/>
        <w:ind w:left="912" w:hanging="912"/>
        <w:jc w:val="center"/>
      </w:pPr>
      <w:r>
        <w:rPr>
          <w:noProof/>
        </w:rPr>
        <w:drawing>
          <wp:inline distT="0" distB="0" distL="0" distR="0" wp14:anchorId="2098EEDD" wp14:editId="2610569A">
            <wp:extent cx="5758180" cy="1692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1692910"/>
                    </a:xfrm>
                    <a:prstGeom prst="rect">
                      <a:avLst/>
                    </a:prstGeom>
                    <a:noFill/>
                    <a:ln>
                      <a:noFill/>
                    </a:ln>
                  </pic:spPr>
                </pic:pic>
              </a:graphicData>
            </a:graphic>
          </wp:inline>
        </w:drawing>
      </w:r>
    </w:p>
    <w:p w14:paraId="39F06F97" w14:textId="77777777" w:rsidR="00F86C2F" w:rsidRPr="00AF43BE" w:rsidRDefault="00F86C2F" w:rsidP="00A71658">
      <w:pPr>
        <w:pStyle w:val="Caption"/>
        <w:jc w:val="center"/>
        <w:rPr>
          <w:sz w:val="22"/>
          <w:szCs w:val="22"/>
        </w:rPr>
      </w:pPr>
      <w:r>
        <w:t xml:space="preserve">Figure </w:t>
      </w:r>
      <w:r>
        <w:fldChar w:fldCharType="begin"/>
      </w:r>
      <w:r>
        <w:instrText xml:space="preserve"> SEQ Figure \* ARABIC </w:instrText>
      </w:r>
      <w:r>
        <w:fldChar w:fldCharType="separate"/>
      </w:r>
      <w:r>
        <w:rPr>
          <w:noProof/>
        </w:rPr>
        <w:t>4</w:t>
      </w:r>
      <w:r>
        <w:fldChar w:fldCharType="end"/>
      </w:r>
      <w:r>
        <w:t>: Screenshot of the tool focusing on Expenditure ID and Expenditure label</w:t>
      </w:r>
    </w:p>
    <w:p w14:paraId="57F5CD52" w14:textId="77777777" w:rsidR="00F86C2F" w:rsidRDefault="00F86C2F" w:rsidP="00A71658">
      <w:pPr>
        <w:pStyle w:val="ListParagraph"/>
        <w:numPr>
          <w:ilvl w:val="0"/>
          <w:numId w:val="20"/>
        </w:numPr>
      </w:pPr>
      <w:r>
        <w:t>In the ‘Group’ column, select the category that maps to the expenditure from the drop-down menu</w:t>
      </w:r>
    </w:p>
    <w:p w14:paraId="0BD297FC" w14:textId="77777777" w:rsidR="00F86C2F" w:rsidRDefault="00F86C2F" w:rsidP="00A71658">
      <w:pPr>
        <w:pStyle w:val="ListParagraph"/>
        <w:keepNext/>
        <w:ind w:left="0"/>
        <w:jc w:val="center"/>
      </w:pPr>
      <w:r>
        <w:rPr>
          <w:noProof/>
        </w:rPr>
        <w:drawing>
          <wp:inline distT="0" distB="0" distL="0" distR="0" wp14:anchorId="5BD70768" wp14:editId="6343FE7A">
            <wp:extent cx="5758180" cy="244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2444750"/>
                    </a:xfrm>
                    <a:prstGeom prst="rect">
                      <a:avLst/>
                    </a:prstGeom>
                    <a:noFill/>
                    <a:ln>
                      <a:noFill/>
                    </a:ln>
                  </pic:spPr>
                </pic:pic>
              </a:graphicData>
            </a:graphic>
          </wp:inline>
        </w:drawing>
      </w:r>
    </w:p>
    <w:p w14:paraId="291D662E" w14:textId="77777777" w:rsidR="00F86C2F" w:rsidRPr="00A070CF" w:rsidRDefault="00F86C2F" w:rsidP="00A71658">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Screenshot of the tool focusing on “Group” column</w:t>
      </w:r>
    </w:p>
    <w:p w14:paraId="67E5BF10" w14:textId="77777777" w:rsidR="00F86C2F" w:rsidRPr="00D37B17" w:rsidRDefault="00F86C2F" w:rsidP="00F86C2F">
      <w:pPr>
        <w:pStyle w:val="BodyText"/>
      </w:pPr>
      <w:r w:rsidRPr="00D37B17">
        <w:t xml:space="preserve">Note: </w:t>
      </w:r>
      <w:r>
        <w:t xml:space="preserve">if any of the drop-down menu does not appear at some point in the process, restart from the “Group” or Category” cell. </w:t>
      </w:r>
    </w:p>
    <w:p w14:paraId="73DFA62C" w14:textId="77777777" w:rsidR="00F86C2F" w:rsidRDefault="00F86C2F" w:rsidP="00A71658">
      <w:pPr>
        <w:pStyle w:val="ListParagraph"/>
        <w:numPr>
          <w:ilvl w:val="0"/>
          <w:numId w:val="20"/>
        </w:numPr>
      </w:pPr>
      <w:r>
        <w:t>In the ‘Category’ column, select the category that best fits the expenditure in from the drop-down menu</w:t>
      </w:r>
    </w:p>
    <w:p w14:paraId="65F6CC42" w14:textId="77777777" w:rsidR="00F86C2F" w:rsidRDefault="00F86C2F" w:rsidP="00A71658">
      <w:pPr>
        <w:pStyle w:val="ListParagraph"/>
        <w:keepNext/>
        <w:ind w:left="0"/>
        <w:jc w:val="center"/>
      </w:pPr>
      <w:r>
        <w:rPr>
          <w:noProof/>
        </w:rPr>
        <w:lastRenderedPageBreak/>
        <w:drawing>
          <wp:inline distT="0" distB="0" distL="0" distR="0" wp14:anchorId="428680D0" wp14:editId="3D087405">
            <wp:extent cx="5748655" cy="177419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1774190"/>
                    </a:xfrm>
                    <a:prstGeom prst="rect">
                      <a:avLst/>
                    </a:prstGeom>
                    <a:noFill/>
                    <a:ln>
                      <a:noFill/>
                    </a:ln>
                  </pic:spPr>
                </pic:pic>
              </a:graphicData>
            </a:graphic>
          </wp:inline>
        </w:drawing>
      </w:r>
    </w:p>
    <w:p w14:paraId="4806FDEE" w14:textId="77777777" w:rsidR="00F86C2F" w:rsidRDefault="00F86C2F" w:rsidP="00A71658">
      <w:pPr>
        <w:pStyle w:val="Caption"/>
        <w:jc w:val="center"/>
        <w:rPr>
          <w:sz w:val="22"/>
          <w:szCs w:val="22"/>
        </w:rPr>
      </w:pPr>
      <w:r>
        <w:t xml:space="preserve">Figure </w:t>
      </w:r>
      <w:r>
        <w:fldChar w:fldCharType="begin"/>
      </w:r>
      <w:r>
        <w:instrText xml:space="preserve"> SEQ Figure \* ARABIC </w:instrText>
      </w:r>
      <w:r>
        <w:fldChar w:fldCharType="separate"/>
      </w:r>
      <w:r>
        <w:rPr>
          <w:noProof/>
        </w:rPr>
        <w:t>6</w:t>
      </w:r>
      <w:r>
        <w:fldChar w:fldCharType="end"/>
      </w:r>
      <w:r>
        <w:t>: Screenshot of the tool focusing on “Category” column</w:t>
      </w:r>
    </w:p>
    <w:p w14:paraId="4F487A43" w14:textId="77777777" w:rsidR="00F86C2F" w:rsidRDefault="00F86C2F" w:rsidP="00A71658">
      <w:pPr>
        <w:pStyle w:val="ListParagraph"/>
        <w:numPr>
          <w:ilvl w:val="0"/>
          <w:numId w:val="20"/>
        </w:numPr>
      </w:pPr>
      <w:r>
        <w:t>In the ‘subcategory’ column, select the subcategory that best fits the expenditure in from the drop-down menu</w:t>
      </w:r>
    </w:p>
    <w:p w14:paraId="2A873E46" w14:textId="77777777" w:rsidR="00F86C2F" w:rsidRDefault="00F86C2F" w:rsidP="00A71658">
      <w:pPr>
        <w:keepNext/>
        <w:tabs>
          <w:tab w:val="left" w:pos="1710"/>
        </w:tabs>
        <w:jc w:val="center"/>
      </w:pPr>
      <w:r>
        <w:rPr>
          <w:noProof/>
        </w:rPr>
        <w:drawing>
          <wp:inline distT="0" distB="0" distL="0" distR="0" wp14:anchorId="0857B019" wp14:editId="270B5F1D">
            <wp:extent cx="5712460" cy="22364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2236470"/>
                    </a:xfrm>
                    <a:prstGeom prst="rect">
                      <a:avLst/>
                    </a:prstGeom>
                    <a:noFill/>
                    <a:ln>
                      <a:noFill/>
                    </a:ln>
                  </pic:spPr>
                </pic:pic>
              </a:graphicData>
            </a:graphic>
          </wp:inline>
        </w:drawing>
      </w:r>
    </w:p>
    <w:p w14:paraId="216CC66B" w14:textId="77777777" w:rsidR="00F86C2F" w:rsidRPr="00AF43BE" w:rsidRDefault="00F86C2F" w:rsidP="00A71658">
      <w:pPr>
        <w:pStyle w:val="Caption"/>
        <w:jc w:val="center"/>
        <w:rPr>
          <w:sz w:val="22"/>
          <w:szCs w:val="22"/>
        </w:rPr>
      </w:pPr>
      <w:r>
        <w:t xml:space="preserve">Figure </w:t>
      </w:r>
      <w:r>
        <w:fldChar w:fldCharType="begin"/>
      </w:r>
      <w:r>
        <w:instrText xml:space="preserve"> SEQ Figure \* ARABIC </w:instrText>
      </w:r>
      <w:r>
        <w:fldChar w:fldCharType="separate"/>
      </w:r>
      <w:r>
        <w:rPr>
          <w:noProof/>
        </w:rPr>
        <w:t>7</w:t>
      </w:r>
      <w:r>
        <w:fldChar w:fldCharType="end"/>
      </w:r>
      <w:r>
        <w:t>: Screenshot of the tool focusing on “subcategory” column</w:t>
      </w:r>
    </w:p>
    <w:p w14:paraId="6504B92E" w14:textId="77777777" w:rsidR="00F86C2F" w:rsidRDefault="00F86C2F" w:rsidP="00A71658">
      <w:pPr>
        <w:pStyle w:val="ListParagraph"/>
        <w:numPr>
          <w:ilvl w:val="0"/>
          <w:numId w:val="20"/>
        </w:numPr>
      </w:pPr>
      <w:r>
        <w:t>In the ‘Value’ column, enter the value in the unit specified in the “unit” column. The unit column is pre-populated based on the selection of Approach in column G.</w:t>
      </w:r>
    </w:p>
    <w:p w14:paraId="01411067" w14:textId="77777777" w:rsidR="00F86C2F" w:rsidRDefault="00F86C2F" w:rsidP="00A71658">
      <w:pPr>
        <w:keepNext/>
        <w:jc w:val="center"/>
      </w:pPr>
      <w:r>
        <w:rPr>
          <w:noProof/>
        </w:rPr>
        <w:drawing>
          <wp:inline distT="0" distB="0" distL="0" distR="0" wp14:anchorId="7A4C9F91" wp14:editId="68927B2E">
            <wp:extent cx="4064379" cy="2240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379" cy="2240280"/>
                    </a:xfrm>
                    <a:prstGeom prst="rect">
                      <a:avLst/>
                    </a:prstGeom>
                    <a:noFill/>
                    <a:ln>
                      <a:noFill/>
                    </a:ln>
                  </pic:spPr>
                </pic:pic>
              </a:graphicData>
            </a:graphic>
          </wp:inline>
        </w:drawing>
      </w:r>
    </w:p>
    <w:p w14:paraId="381EE81B" w14:textId="77777777" w:rsidR="00F86C2F" w:rsidRPr="00356430" w:rsidRDefault="00F86C2F" w:rsidP="00A71658">
      <w:pPr>
        <w:pStyle w:val="Caption"/>
        <w:jc w:val="center"/>
        <w:rPr>
          <w:sz w:val="22"/>
          <w:szCs w:val="22"/>
        </w:rPr>
      </w:pPr>
      <w:r>
        <w:t xml:space="preserve">Figure </w:t>
      </w:r>
      <w:r>
        <w:fldChar w:fldCharType="begin"/>
      </w:r>
      <w:r>
        <w:instrText xml:space="preserve"> SEQ Figure \* ARABIC </w:instrText>
      </w:r>
      <w:r>
        <w:fldChar w:fldCharType="separate"/>
      </w:r>
      <w:r>
        <w:rPr>
          <w:noProof/>
        </w:rPr>
        <w:t>8</w:t>
      </w:r>
      <w:r>
        <w:fldChar w:fldCharType="end"/>
      </w:r>
      <w:r>
        <w:t>:</w:t>
      </w:r>
      <w:r w:rsidRPr="005942FA">
        <w:t xml:space="preserve"> </w:t>
      </w:r>
      <w:r>
        <w:t>Screenshot of the tool focusing on “Value” column</w:t>
      </w:r>
    </w:p>
    <w:p w14:paraId="14BB1F7E" w14:textId="77777777" w:rsidR="00F86C2F" w:rsidRDefault="00F86C2F" w:rsidP="00A71658">
      <w:pPr>
        <w:pStyle w:val="ListParagraph"/>
        <w:numPr>
          <w:ilvl w:val="0"/>
          <w:numId w:val="20"/>
        </w:numPr>
      </w:pPr>
      <w:r>
        <w:lastRenderedPageBreak/>
        <w:t xml:space="preserve">For each item, fill in the required information in the tables on the right. The information in these tables will facilitate the tracking and mapping of sources, </w:t>
      </w:r>
      <w:r w:rsidRPr="003921DE">
        <w:t xml:space="preserve">with the aim that it is easily reproducible thereafter. </w:t>
      </w:r>
      <w:r>
        <w:t xml:space="preserve">This concerns data sources, contacts, assumptions, etc. </w:t>
      </w:r>
    </w:p>
    <w:p w14:paraId="69B3CEE2" w14:textId="77777777" w:rsidR="00F86C2F" w:rsidRDefault="00F86C2F" w:rsidP="00A71658">
      <w:pPr>
        <w:keepNext/>
        <w:jc w:val="center"/>
      </w:pPr>
      <w:r>
        <w:rPr>
          <w:noProof/>
        </w:rPr>
        <w:drawing>
          <wp:inline distT="0" distB="0" distL="0" distR="0" wp14:anchorId="568C7724" wp14:editId="65C37B57">
            <wp:extent cx="5758180" cy="230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2308860"/>
                    </a:xfrm>
                    <a:prstGeom prst="rect">
                      <a:avLst/>
                    </a:prstGeom>
                    <a:noFill/>
                    <a:ln>
                      <a:noFill/>
                    </a:ln>
                  </pic:spPr>
                </pic:pic>
              </a:graphicData>
            </a:graphic>
          </wp:inline>
        </w:drawing>
      </w:r>
    </w:p>
    <w:p w14:paraId="32149117" w14:textId="77777777" w:rsidR="00F86C2F" w:rsidRPr="00356430" w:rsidRDefault="00F86C2F" w:rsidP="00A71658">
      <w:pPr>
        <w:pStyle w:val="Caption"/>
        <w:jc w:val="center"/>
        <w:rPr>
          <w:sz w:val="22"/>
          <w:szCs w:val="22"/>
        </w:rPr>
      </w:pPr>
      <w:r>
        <w:t xml:space="preserve">Figure </w:t>
      </w:r>
      <w:r>
        <w:fldChar w:fldCharType="begin"/>
      </w:r>
      <w:r>
        <w:instrText xml:space="preserve"> SEQ Figure \* ARABIC </w:instrText>
      </w:r>
      <w:r>
        <w:fldChar w:fldCharType="separate"/>
      </w:r>
      <w:r>
        <w:rPr>
          <w:noProof/>
        </w:rPr>
        <w:t>9</w:t>
      </w:r>
      <w:r>
        <w:fldChar w:fldCharType="end"/>
      </w:r>
      <w:r>
        <w:t>: Screenshot of the tool focusing on data tracking information</w:t>
      </w:r>
    </w:p>
    <w:p w14:paraId="5A0EE2CA" w14:textId="77777777" w:rsidR="00F86C2F" w:rsidRDefault="00F86C2F" w:rsidP="00A71658">
      <w:pPr>
        <w:pStyle w:val="Heading3"/>
      </w:pPr>
      <w:bookmarkStart w:id="80" w:name="_Toc27044781"/>
      <w:bookmarkStart w:id="81" w:name="_Toc32606099"/>
      <w:bookmarkStart w:id="82" w:name="_Toc80362448"/>
      <w:r>
        <w:t xml:space="preserve">Category and subcategory </w:t>
      </w:r>
      <w:r w:rsidRPr="00A71658">
        <w:t>examples</w:t>
      </w:r>
      <w:bookmarkEnd w:id="80"/>
      <w:bookmarkEnd w:id="81"/>
      <w:bookmarkEnd w:id="82"/>
    </w:p>
    <w:p w14:paraId="081F4B82" w14:textId="77777777" w:rsidR="00F86C2F" w:rsidRPr="00A070CF" w:rsidRDefault="00F86C2F" w:rsidP="00A71658">
      <w:r w:rsidRPr="00A070CF">
        <w:t>The following section represents examples provided by WG3 members to facilitate mapping of common purchasing categories to Groups and Categories provided in this tool. These examples should be considered as representative guidance only, and each reporting company should proceed with mapping in accordance with its own internal policies and procedures.</w:t>
      </w:r>
    </w:p>
    <w:p w14:paraId="33A071D3" w14:textId="77777777" w:rsidR="00F86C2F" w:rsidRPr="00A71658" w:rsidRDefault="00F86C2F" w:rsidP="00A71658">
      <w:pPr>
        <w:pStyle w:val="Heading4"/>
      </w:pPr>
      <w:r w:rsidRPr="00A71658">
        <w:t>Standardized goods</w:t>
      </w:r>
    </w:p>
    <w:p w14:paraId="2D3B7CF3" w14:textId="77777777" w:rsidR="00F86C2F" w:rsidRDefault="00F86C2F" w:rsidP="00A71658">
      <w:r>
        <w:t>The Aerospace &amp; Defense components manufacturing industry has extensive standards that are an integral part of the purchasing process. These apply to a wide range of goods and are based on industry or US Government Specifications. These include fasteners (screws, nuts, bolts…), hoses, clamps, seals, brackets, etc.</w:t>
      </w:r>
    </w:p>
    <w:p w14:paraId="5E355330" w14:textId="77777777" w:rsidR="00F86C2F" w:rsidRDefault="00F86C2F" w:rsidP="00A71658">
      <w:r>
        <w:t xml:space="preserve">The standardization of these goods may simplify reporting efforts by providing information relating to its material composition. Over the years, users may also use the standardized identification of these parts to keep track of how they are categorized in the tool. </w:t>
      </w:r>
    </w:p>
    <w:p w14:paraId="3EC53B45" w14:textId="77777777" w:rsidR="00F86C2F" w:rsidRDefault="00F86C2F" w:rsidP="00A71658">
      <w:r>
        <w:t>Fasteners, as an example, are metal based goods and should be classified accordingly in the IAEG tool</w:t>
      </w:r>
    </w:p>
    <w:p w14:paraId="2F7F8FF2" w14:textId="77777777" w:rsidR="00A71658" w:rsidRDefault="00F86C2F" w:rsidP="00A71658">
      <w:pPr>
        <w:spacing w:after="0"/>
      </w:pPr>
      <w:r>
        <w:tab/>
      </w:r>
      <w:r>
        <w:rPr>
          <w:b/>
          <w:bCs/>
        </w:rPr>
        <w:t>Category</w:t>
      </w:r>
      <w:r>
        <w:t>: Assembly and structural components</w:t>
      </w:r>
    </w:p>
    <w:p w14:paraId="4BC21480" w14:textId="77777777" w:rsidR="00F86C2F" w:rsidRDefault="00F86C2F" w:rsidP="00D965CF">
      <w:pPr>
        <w:ind w:left="1440"/>
        <w:jc w:val="left"/>
      </w:pPr>
      <w:r>
        <w:rPr>
          <w:b/>
          <w:bCs/>
        </w:rPr>
        <w:t>Sub-category:</w:t>
      </w:r>
      <w:r>
        <w:t xml:space="preserve"> Metal based assembly and structural component for aircraft/space vehicle and missiles</w:t>
      </w:r>
    </w:p>
    <w:p w14:paraId="6F994751" w14:textId="77777777" w:rsidR="00F86C2F" w:rsidRDefault="00F86C2F" w:rsidP="00A71658">
      <w:pPr>
        <w:pStyle w:val="Heading4"/>
      </w:pPr>
      <w:r>
        <w:t>Complex goods</w:t>
      </w:r>
    </w:p>
    <w:p w14:paraId="6651DFF1" w14:textId="77777777" w:rsidR="00F86C2F" w:rsidRDefault="00F86C2F" w:rsidP="00A71658">
      <w:r>
        <w:t>When dealing with complex goods, users should identify the main material making up the good and select this category in the IAEG tool. The assistance of procurement, supply chain, or engineering colleagues may be required to do this approximation as accurately as possible.</w:t>
      </w:r>
    </w:p>
    <w:p w14:paraId="6E090195" w14:textId="77777777" w:rsidR="00F86C2F" w:rsidRDefault="00F86C2F" w:rsidP="00A71658">
      <w:r>
        <w:t xml:space="preserve">Landing Gear Systems are an example of a complex component likely to be encountered by users of the tool. These systems include elements like hydraulics, structural sections, energy absorption </w:t>
      </w:r>
      <w:r>
        <w:lastRenderedPageBreak/>
        <w:t>systems, brakes, wheels, and tires. While several materials are used, high-strength steel and titanium alloys are in greatest presence. Hence, the selection in the tool would go as follows:</w:t>
      </w:r>
    </w:p>
    <w:p w14:paraId="6A8E9395" w14:textId="77777777" w:rsidR="00F86C2F" w:rsidRDefault="00F86C2F" w:rsidP="00D965CF">
      <w:pPr>
        <w:spacing w:after="0"/>
        <w:jc w:val="left"/>
      </w:pPr>
      <w:r>
        <w:tab/>
      </w:r>
      <w:r w:rsidRPr="00A71658">
        <w:rPr>
          <w:b/>
        </w:rPr>
        <w:t>Category</w:t>
      </w:r>
      <w:r w:rsidRPr="00A71658">
        <w:t xml:space="preserve">: </w:t>
      </w:r>
      <w:r>
        <w:t>Manufactured components and materials</w:t>
      </w:r>
    </w:p>
    <w:p w14:paraId="7AC0AF0A" w14:textId="77777777" w:rsidR="00F86C2F" w:rsidRDefault="00F86C2F" w:rsidP="00D965CF">
      <w:pPr>
        <w:ind w:left="1440"/>
        <w:jc w:val="left"/>
      </w:pPr>
      <w:r>
        <w:rPr>
          <w:b/>
          <w:bCs/>
        </w:rPr>
        <w:t>Sub-category:</w:t>
      </w:r>
      <w:r>
        <w:t xml:space="preserve"> Metal based manufactured components for aircraft (other than engines)</w:t>
      </w:r>
    </w:p>
    <w:p w14:paraId="4D0812C2" w14:textId="77777777" w:rsidR="00F86C2F" w:rsidRDefault="00F86C2F" w:rsidP="00A71658">
      <w:pPr>
        <w:pStyle w:val="Heading4"/>
      </w:pPr>
      <w:r>
        <w:t>Industrial equipment</w:t>
      </w:r>
    </w:p>
    <w:p w14:paraId="49C48DB1" w14:textId="77777777" w:rsidR="00F86C2F" w:rsidRDefault="00F86C2F" w:rsidP="00F86C2F">
      <w:pPr>
        <w:pStyle w:val="BodyText"/>
      </w:pPr>
      <w:r>
        <w:t>Certain capital goods such as machine tooling or assembly and transportation jigs, are internal purchasing categories that can account for a significant part of a company’s annual spending. The IAEG tool has therefore identified subcategories for these materials:</w:t>
      </w:r>
    </w:p>
    <w:p w14:paraId="147CAAC0" w14:textId="77777777" w:rsidR="00F86C2F" w:rsidRDefault="00F86C2F" w:rsidP="00A71658">
      <w:pPr>
        <w:spacing w:after="0"/>
      </w:pPr>
      <w:r>
        <w:tab/>
      </w:r>
      <w:r w:rsidRPr="00A71658">
        <w:rPr>
          <w:b/>
        </w:rPr>
        <w:t xml:space="preserve">Category: </w:t>
      </w:r>
      <w:r w:rsidRPr="00A71658">
        <w:t>Industrial equipment</w:t>
      </w:r>
    </w:p>
    <w:p w14:paraId="0DAF4D5D" w14:textId="77777777" w:rsidR="00F86C2F" w:rsidRDefault="00F86C2F" w:rsidP="00D965CF">
      <w:pPr>
        <w:jc w:val="left"/>
      </w:pPr>
      <w:r>
        <w:tab/>
      </w:r>
      <w:r>
        <w:tab/>
      </w:r>
      <w:r>
        <w:rPr>
          <w:b/>
          <w:bCs/>
        </w:rPr>
        <w:t xml:space="preserve">Sub-Category: </w:t>
      </w:r>
      <w:r>
        <w:t>Machines and industrial equipment</w:t>
      </w:r>
    </w:p>
    <w:p w14:paraId="19379273" w14:textId="77777777" w:rsidR="00F86C2F" w:rsidRPr="00493EC5" w:rsidRDefault="00F86C2F" w:rsidP="00F86C2F"/>
    <w:p w14:paraId="03F9F8F5" w14:textId="77777777" w:rsidR="00F86C2F" w:rsidRDefault="00F86C2F" w:rsidP="00D965CF">
      <w:pPr>
        <w:pStyle w:val="Heading2"/>
      </w:pPr>
      <w:bookmarkStart w:id="83" w:name="_Toc25698418"/>
      <w:bookmarkStart w:id="84" w:name="_Toc32606100"/>
      <w:bookmarkStart w:id="85" w:name="_Toc80362449"/>
      <w:bookmarkStart w:id="86" w:name="_Toc27044782"/>
      <w:bookmarkEnd w:id="83"/>
      <w:r w:rsidRPr="00D965CF">
        <w:t>Back</w:t>
      </w:r>
      <w:r>
        <w:t>-end calculations – “GHG emissions calculation” sheet</w:t>
      </w:r>
      <w:bookmarkEnd w:id="84"/>
      <w:bookmarkEnd w:id="85"/>
    </w:p>
    <w:p w14:paraId="27D084CE" w14:textId="77777777" w:rsidR="00F86C2F" w:rsidRPr="00A070CF" w:rsidRDefault="00F86C2F" w:rsidP="00D965CF">
      <w:r w:rsidRPr="00A070CF">
        <w:t>The “GHG emissions calculation” tab performs the GHG emissions calculations based on the data entered in the “Import data” tab. The values entered in the “Import data” tab are multiplied by the appropriate EF to derive a subcategory’s emissions in metric tons of CO2.  The applicable subcategories are shown in blue and subcategories that are not filled in on the “Import Data” tab remain grayed out.</w:t>
      </w:r>
    </w:p>
    <w:p w14:paraId="0583965A" w14:textId="77777777" w:rsidR="00F86C2F" w:rsidRPr="006744E9" w:rsidRDefault="00F86C2F" w:rsidP="00D965CF">
      <w:r w:rsidRPr="00A070CF">
        <w:t>The values calculated in “GHG emissions calculation” then are used to build the graphs in the “Results Overview” tab. Please note that no action is required from the user for this tab to work properly.</w:t>
      </w:r>
    </w:p>
    <w:p w14:paraId="242BA110" w14:textId="77777777" w:rsidR="00F86C2F" w:rsidRDefault="00F86C2F" w:rsidP="00D965CF">
      <w:pPr>
        <w:pStyle w:val="Heading2"/>
      </w:pPr>
      <w:bookmarkStart w:id="87" w:name="_Toc32606101"/>
      <w:bookmarkStart w:id="88" w:name="_Toc80362450"/>
      <w:r>
        <w:t>Reviewing the results – “Results overview” sheet</w:t>
      </w:r>
      <w:bookmarkEnd w:id="86"/>
      <w:bookmarkEnd w:id="87"/>
      <w:bookmarkEnd w:id="88"/>
    </w:p>
    <w:p w14:paraId="38CE964A" w14:textId="77777777" w:rsidR="00F86C2F" w:rsidRDefault="00F86C2F" w:rsidP="00D965CF">
      <w:r>
        <w:t>Once all data has been entered, g</w:t>
      </w:r>
      <w:r w:rsidRPr="00770E55">
        <w:t xml:space="preserve">o to the </w:t>
      </w:r>
      <w:r w:rsidRPr="4A420A38">
        <w:rPr>
          <w:b/>
          <w:bCs/>
          <w:i/>
          <w:iCs/>
        </w:rPr>
        <w:t>Results Overview</w:t>
      </w:r>
      <w:r w:rsidRPr="00770E55">
        <w:t xml:space="preserve"> tab to </w:t>
      </w:r>
      <w:r>
        <w:t xml:space="preserve">view </w:t>
      </w:r>
      <w:r w:rsidRPr="00770E55">
        <w:t>the results</w:t>
      </w:r>
      <w:r>
        <w:t xml:space="preserve">. </w:t>
      </w:r>
      <w:bookmarkEnd w:id="48"/>
    </w:p>
    <w:p w14:paraId="6868668D" w14:textId="77777777" w:rsidR="00F86C2F" w:rsidRDefault="00F86C2F" w:rsidP="00D965CF">
      <w:pPr>
        <w:pStyle w:val="Heading3"/>
      </w:pPr>
      <w:bookmarkStart w:id="89" w:name="_Toc27044783"/>
      <w:bookmarkStart w:id="90" w:name="_Toc32606102"/>
      <w:bookmarkStart w:id="91" w:name="_Toc80362451"/>
      <w:r w:rsidRPr="60BA24B8">
        <w:t>Associated emissions and share of total emissions</w:t>
      </w:r>
      <w:bookmarkEnd w:id="89"/>
      <w:bookmarkEnd w:id="90"/>
      <w:bookmarkEnd w:id="91"/>
    </w:p>
    <w:p w14:paraId="08332EFB" w14:textId="77777777" w:rsidR="00F86C2F" w:rsidRPr="0076008C" w:rsidRDefault="00F86C2F" w:rsidP="00D965CF">
      <w:r>
        <w:t>In the first section of the results tab, a table displays the results of the data according to the information entered in the “import dat</w:t>
      </w:r>
      <w:r w:rsidR="00D965CF">
        <w:t xml:space="preserve">a” tab. The categories of PG&amp;S </w:t>
      </w:r>
      <w:r>
        <w:t xml:space="preserve">and CG are presented by their groups to allow the user to better understand the most important categories of emission within each group. An example of the table is provided in </w:t>
      </w:r>
      <w:r>
        <w:fldChar w:fldCharType="begin"/>
      </w:r>
      <w:r>
        <w:instrText xml:space="preserve"> REF _Ref26524603 \h </w:instrText>
      </w:r>
      <w:r w:rsidR="00D965CF">
        <w:instrText xml:space="preserve"> \* MERGEFORMAT </w:instrText>
      </w:r>
      <w:r>
        <w:fldChar w:fldCharType="separate"/>
      </w:r>
      <w:r>
        <w:t xml:space="preserve">Figure </w:t>
      </w:r>
      <w:r>
        <w:rPr>
          <w:noProof/>
        </w:rPr>
        <w:t>10</w:t>
      </w:r>
      <w:r>
        <w:fldChar w:fldCharType="end"/>
      </w:r>
      <w:r>
        <w:t xml:space="preserve">. </w:t>
      </w:r>
    </w:p>
    <w:p w14:paraId="2E9DFB0C" w14:textId="77777777" w:rsidR="00F86C2F" w:rsidRDefault="00F86C2F" w:rsidP="00D965CF">
      <w:pPr>
        <w:pStyle w:val="BodyText"/>
        <w:keepNext/>
        <w:jc w:val="center"/>
      </w:pPr>
      <w:r w:rsidRPr="0023652F">
        <w:rPr>
          <w:noProof/>
        </w:rPr>
        <w:lastRenderedPageBreak/>
        <w:drawing>
          <wp:inline distT="0" distB="0" distL="0" distR="0" wp14:anchorId="175F9B97" wp14:editId="49E0A14F">
            <wp:extent cx="4318000" cy="471826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9955" cy="4720400"/>
                    </a:xfrm>
                    <a:prstGeom prst="rect">
                      <a:avLst/>
                    </a:prstGeom>
                  </pic:spPr>
                </pic:pic>
              </a:graphicData>
            </a:graphic>
          </wp:inline>
        </w:drawing>
      </w:r>
    </w:p>
    <w:p w14:paraId="7DB4C71C" w14:textId="77777777" w:rsidR="00F86C2F" w:rsidRDefault="00F86C2F" w:rsidP="00D965CF">
      <w:pPr>
        <w:pStyle w:val="Caption"/>
        <w:jc w:val="center"/>
      </w:pPr>
      <w:bookmarkStart w:id="92" w:name="_Ref26524603"/>
      <w:r>
        <w:t xml:space="preserve">Figure </w:t>
      </w:r>
      <w:r>
        <w:fldChar w:fldCharType="begin"/>
      </w:r>
      <w:r>
        <w:instrText xml:space="preserve"> SEQ Figure \* ARABIC </w:instrText>
      </w:r>
      <w:r>
        <w:fldChar w:fldCharType="separate"/>
      </w:r>
      <w:r>
        <w:rPr>
          <w:noProof/>
        </w:rPr>
        <w:t>10</w:t>
      </w:r>
      <w:r>
        <w:fldChar w:fldCharType="end"/>
      </w:r>
      <w:bookmarkEnd w:id="92"/>
      <w:r>
        <w:t>: Associated emissions and share of total emissions table</w:t>
      </w:r>
    </w:p>
    <w:p w14:paraId="1B476F84" w14:textId="77777777" w:rsidR="00F86C2F" w:rsidRPr="00095205" w:rsidRDefault="00F86C2F" w:rsidP="00D965CF">
      <w:r>
        <w:t xml:space="preserve">This first section also contains three charts to help the user visualize the source of their emissions (see </w:t>
      </w:r>
      <w:r>
        <w:fldChar w:fldCharType="begin"/>
      </w:r>
      <w:r>
        <w:instrText xml:space="preserve"> REF _Ref27045672 \h </w:instrText>
      </w:r>
      <w:r w:rsidR="00D965CF">
        <w:instrText xml:space="preserve"> \* MERGEFORMAT </w:instrText>
      </w:r>
      <w:r>
        <w:fldChar w:fldCharType="separate"/>
      </w:r>
      <w:r>
        <w:t xml:space="preserve">Figure </w:t>
      </w:r>
      <w:r>
        <w:rPr>
          <w:noProof/>
        </w:rPr>
        <w:t>11</w:t>
      </w:r>
      <w:r>
        <w:fldChar w:fldCharType="end"/>
      </w:r>
      <w:r>
        <w:t>). The first pie chart displays the data for both PG&amp;S and CG. The second and third pie charts display the same data separately. Beneath each pie chart is a stacked bar which provides information on the percentage of total emissions derived from spend-based and mass-based EF.</w:t>
      </w:r>
    </w:p>
    <w:p w14:paraId="1E8DD5A0" w14:textId="77777777" w:rsidR="00F86C2F" w:rsidRDefault="00F86C2F" w:rsidP="00D965CF">
      <w:pPr>
        <w:pStyle w:val="BodyText"/>
        <w:keepNext/>
        <w:jc w:val="center"/>
      </w:pPr>
      <w:r>
        <w:rPr>
          <w:noProof/>
        </w:rPr>
        <w:drawing>
          <wp:inline distT="0" distB="0" distL="0" distR="0" wp14:anchorId="4999290B" wp14:editId="13C86091">
            <wp:extent cx="4588329" cy="263072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a:blip r:embed="rId26"/>
                    <a:stretch>
                      <a:fillRect/>
                    </a:stretch>
                  </pic:blipFill>
                  <pic:spPr>
                    <a:xfrm>
                      <a:off x="0" y="0"/>
                      <a:ext cx="4609710" cy="2642982"/>
                    </a:xfrm>
                    <a:prstGeom prst="rect">
                      <a:avLst/>
                    </a:prstGeom>
                  </pic:spPr>
                </pic:pic>
              </a:graphicData>
            </a:graphic>
          </wp:inline>
        </w:drawing>
      </w:r>
    </w:p>
    <w:p w14:paraId="42491738" w14:textId="77777777" w:rsidR="00F86C2F" w:rsidRDefault="00F86C2F" w:rsidP="00D965CF">
      <w:pPr>
        <w:pStyle w:val="Caption"/>
        <w:jc w:val="center"/>
      </w:pPr>
      <w:bookmarkStart w:id="93" w:name="_Ref27045672"/>
      <w:r>
        <w:t xml:space="preserve">Figure </w:t>
      </w:r>
      <w:r>
        <w:fldChar w:fldCharType="begin"/>
      </w:r>
      <w:r>
        <w:instrText xml:space="preserve"> SEQ Figure \* ARABIC </w:instrText>
      </w:r>
      <w:r>
        <w:fldChar w:fldCharType="separate"/>
      </w:r>
      <w:r>
        <w:rPr>
          <w:noProof/>
        </w:rPr>
        <w:t>11</w:t>
      </w:r>
      <w:r>
        <w:fldChar w:fldCharType="end"/>
      </w:r>
      <w:bookmarkEnd w:id="93"/>
      <w:r>
        <w:t>: Associated emissions and share of total emissions graphs</w:t>
      </w:r>
    </w:p>
    <w:p w14:paraId="090C8CC0" w14:textId="77777777" w:rsidR="00F86C2F" w:rsidRDefault="00F86C2F" w:rsidP="00D965CF">
      <w:pPr>
        <w:pStyle w:val="Heading3"/>
      </w:pPr>
      <w:bookmarkStart w:id="94" w:name="_Toc27044784"/>
      <w:bookmarkStart w:id="95" w:name="_Toc32606103"/>
      <w:bookmarkStart w:id="96" w:name="_Toc80362452"/>
      <w:r w:rsidRPr="60BA24B8">
        <w:lastRenderedPageBreak/>
        <w:t>Distribution of GHG emissions by degree of decreasing significance</w:t>
      </w:r>
      <w:bookmarkEnd w:id="94"/>
      <w:bookmarkEnd w:id="95"/>
      <w:bookmarkEnd w:id="96"/>
    </w:p>
    <w:p w14:paraId="41804737" w14:textId="77777777" w:rsidR="00F86C2F" w:rsidRPr="0040355E" w:rsidRDefault="00F86C2F" w:rsidP="00D965CF">
      <w:r w:rsidRPr="00356430">
        <w:t>In the second section of the results tab</w:t>
      </w:r>
      <w:r w:rsidRPr="00007D67">
        <w:t xml:space="preserve">, a table </w:t>
      </w:r>
      <w:r>
        <w:t xml:space="preserve">(see Figure 12) </w:t>
      </w:r>
      <w:r w:rsidRPr="00007D67">
        <w:t xml:space="preserve">displays the results of the data </w:t>
      </w:r>
      <w:r>
        <w:t>by</w:t>
      </w:r>
      <w:r w:rsidRPr="00007D67">
        <w:t xml:space="preserve"> decreasing share of the total emissions to allow the user to better understand the most </w:t>
      </w:r>
      <w:r>
        <w:t>impactful</w:t>
      </w:r>
      <w:r w:rsidRPr="00007D67">
        <w:t xml:space="preserve"> categories of emission in their </w:t>
      </w:r>
      <w:r>
        <w:t>overall inventories</w:t>
      </w:r>
      <w:r w:rsidRPr="00007D67">
        <w:t xml:space="preserve">. </w:t>
      </w:r>
      <w:r w:rsidRPr="00356430">
        <w:t xml:space="preserve"> </w:t>
      </w:r>
    </w:p>
    <w:p w14:paraId="7138DBEC" w14:textId="77777777" w:rsidR="00F86C2F" w:rsidRDefault="00F86C2F" w:rsidP="00D965CF">
      <w:pPr>
        <w:keepNext/>
        <w:jc w:val="center"/>
      </w:pPr>
      <w:r w:rsidRPr="00B0265D">
        <w:rPr>
          <w:noProof/>
        </w:rPr>
        <w:drawing>
          <wp:inline distT="0" distB="0" distL="0" distR="0" wp14:anchorId="092D5ECA" wp14:editId="2C9A2322">
            <wp:extent cx="4927600" cy="446058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7600" cy="4460585"/>
                    </a:xfrm>
                    <a:prstGeom prst="rect">
                      <a:avLst/>
                    </a:prstGeom>
                  </pic:spPr>
                </pic:pic>
              </a:graphicData>
            </a:graphic>
          </wp:inline>
        </w:drawing>
      </w:r>
    </w:p>
    <w:p w14:paraId="2D59EFDC" w14:textId="77777777" w:rsidR="00F86C2F" w:rsidRPr="00F5057B" w:rsidRDefault="00F86C2F" w:rsidP="00D965CF">
      <w:pPr>
        <w:pStyle w:val="Caption"/>
        <w:jc w:val="center"/>
      </w:pPr>
      <w:bookmarkStart w:id="97" w:name="_Ref26524664"/>
      <w:r>
        <w:t xml:space="preserve">Figure </w:t>
      </w:r>
      <w:r>
        <w:fldChar w:fldCharType="begin"/>
      </w:r>
      <w:r>
        <w:instrText xml:space="preserve"> SEQ Figure \* ARABIC </w:instrText>
      </w:r>
      <w:r>
        <w:fldChar w:fldCharType="separate"/>
      </w:r>
      <w:r>
        <w:rPr>
          <w:noProof/>
        </w:rPr>
        <w:t>12</w:t>
      </w:r>
      <w:r>
        <w:fldChar w:fldCharType="end"/>
      </w:r>
      <w:bookmarkEnd w:id="97"/>
      <w:r>
        <w:t>: GHG emissions distribution table</w:t>
      </w:r>
    </w:p>
    <w:p w14:paraId="6E539FF7" w14:textId="77777777" w:rsidR="00F86C2F" w:rsidRDefault="00F86C2F" w:rsidP="00D965CF">
      <w:r>
        <w:t xml:space="preserve">The second section also contains two charts to help the user visualize the impact of their total emissions from each category. The graphs display the data for PG&amp;S and CG separately as shown in </w:t>
      </w:r>
      <w:r>
        <w:fldChar w:fldCharType="begin"/>
      </w:r>
      <w:r>
        <w:instrText xml:space="preserve"> REF _Ref32605458 \h  \* MERGEFORMAT </w:instrText>
      </w:r>
      <w:r>
        <w:fldChar w:fldCharType="separate"/>
      </w:r>
      <w:r w:rsidRPr="009A169E">
        <w:t>Figure 13</w:t>
      </w:r>
      <w:r>
        <w:fldChar w:fldCharType="end"/>
      </w:r>
      <w:r>
        <w:t>. The bars indicate total emissions per category mapped on the primary y-axis, while the line indicates cumulative emissions represented by the categories on the chart mapped on the secondary y-axis.</w:t>
      </w:r>
    </w:p>
    <w:p w14:paraId="192CA6CB" w14:textId="77777777" w:rsidR="00F86C2F" w:rsidRPr="0040355E" w:rsidRDefault="00F86C2F" w:rsidP="00F86C2F">
      <w:pPr>
        <w:pStyle w:val="BodyText"/>
      </w:pPr>
    </w:p>
    <w:p w14:paraId="61076820" w14:textId="77777777" w:rsidR="00F86C2F" w:rsidRDefault="00F86C2F" w:rsidP="00D965CF">
      <w:pPr>
        <w:pStyle w:val="BodyText"/>
        <w:keepNext/>
        <w:jc w:val="center"/>
      </w:pPr>
      <w:r w:rsidRPr="0040355E">
        <w:rPr>
          <w:noProof/>
        </w:rPr>
        <w:lastRenderedPageBreak/>
        <w:drawing>
          <wp:inline distT="0" distB="0" distL="0" distR="0" wp14:anchorId="30428839" wp14:editId="0370C761">
            <wp:extent cx="5193603" cy="29337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95" t="1913" r="1832" b="3979"/>
                    <a:stretch/>
                  </pic:blipFill>
                  <pic:spPr bwMode="auto">
                    <a:xfrm>
                      <a:off x="0" y="0"/>
                      <a:ext cx="5196960" cy="29355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4327E2C" w14:textId="77777777" w:rsidR="00F86C2F" w:rsidRDefault="00F86C2F" w:rsidP="00D965CF">
      <w:pPr>
        <w:pStyle w:val="Caption"/>
        <w:jc w:val="center"/>
      </w:pPr>
      <w:bookmarkStart w:id="98" w:name="_Ref32605458"/>
      <w:bookmarkStart w:id="99" w:name="_Ref26524718"/>
      <w:r w:rsidRPr="60BA24B8">
        <w:t xml:space="preserve">Figure </w:t>
      </w:r>
      <w:r w:rsidRPr="60BA24B8">
        <w:fldChar w:fldCharType="begin"/>
      </w:r>
      <w:r w:rsidRPr="60BA24B8">
        <w:instrText xml:space="preserve"> SEQ Figure \* ARABIC </w:instrText>
      </w:r>
      <w:r w:rsidRPr="60BA24B8">
        <w:fldChar w:fldCharType="separate"/>
      </w:r>
      <w:r>
        <w:rPr>
          <w:noProof/>
        </w:rPr>
        <w:t>13</w:t>
      </w:r>
      <w:r w:rsidRPr="60BA24B8">
        <w:fldChar w:fldCharType="end"/>
      </w:r>
      <w:bookmarkEnd w:id="98"/>
      <w:r w:rsidRPr="60BA24B8">
        <w:t>: GHG emissions distribution graphs</w:t>
      </w:r>
      <w:bookmarkEnd w:id="99"/>
    </w:p>
    <w:p w14:paraId="501F4310" w14:textId="77777777" w:rsidR="00F86C2F" w:rsidRDefault="00F86C2F" w:rsidP="00F86C2F">
      <w:pPr>
        <w:rPr>
          <w:b/>
          <w:bCs/>
          <w:color w:val="4F81BD" w:themeColor="accent1"/>
          <w:sz w:val="18"/>
          <w:szCs w:val="18"/>
        </w:rPr>
      </w:pPr>
    </w:p>
    <w:p w14:paraId="5A5C9800" w14:textId="77777777" w:rsidR="00F86C2F" w:rsidRDefault="00F86C2F" w:rsidP="00F86C2F">
      <w:pPr>
        <w:rPr>
          <w:b/>
          <w:bCs/>
          <w:color w:val="4F81BD" w:themeColor="accent1"/>
          <w:sz w:val="18"/>
          <w:szCs w:val="18"/>
        </w:rPr>
      </w:pPr>
    </w:p>
    <w:p w14:paraId="2D401403" w14:textId="77777777" w:rsidR="00D965CF" w:rsidRDefault="00D965CF">
      <w:pPr>
        <w:jc w:val="left"/>
        <w:rPr>
          <w:rFonts w:ascii="Cambria" w:eastAsia="Times New Roman" w:hAnsi="Cambria" w:cs="Times New Roman"/>
          <w:b/>
          <w:bCs/>
          <w:sz w:val="28"/>
          <w:szCs w:val="28"/>
        </w:rPr>
      </w:pPr>
      <w:bookmarkStart w:id="100" w:name="_Toc27044785"/>
      <w:bookmarkStart w:id="101" w:name="_Toc32606104"/>
      <w:r>
        <w:br w:type="page"/>
      </w:r>
    </w:p>
    <w:p w14:paraId="0E4C9308" w14:textId="77777777" w:rsidR="00F86C2F" w:rsidRPr="00770E55" w:rsidRDefault="00F86C2F" w:rsidP="00D965CF">
      <w:pPr>
        <w:pStyle w:val="Heading1"/>
      </w:pPr>
      <w:bookmarkStart w:id="102" w:name="_Toc80362453"/>
      <w:r w:rsidRPr="00D965CF">
        <w:lastRenderedPageBreak/>
        <w:t>Conclusion</w:t>
      </w:r>
      <w:bookmarkEnd w:id="100"/>
      <w:bookmarkEnd w:id="101"/>
      <w:bookmarkEnd w:id="102"/>
    </w:p>
    <w:p w14:paraId="2AB14883" w14:textId="77777777" w:rsidR="00F86C2F" w:rsidRPr="00F86C2F" w:rsidRDefault="00F86C2F" w:rsidP="00D965CF">
      <w:r>
        <w:t xml:space="preserve">This guide describes how to perform an assessment of GHG emissions from PG&amp;S and CG for aerospace and defense companies. By following the instructions, the user will be carried through each step of the process, including the use of the Excel tool developed in support of the methodology. </w:t>
      </w:r>
    </w:p>
    <w:sectPr w:rsidR="00F86C2F" w:rsidRPr="00F86C2F" w:rsidSect="004E6F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75159" w14:textId="77777777" w:rsidR="00C719FD" w:rsidRDefault="00C719FD" w:rsidP="004E6F7D">
      <w:pPr>
        <w:spacing w:after="0" w:line="240" w:lineRule="auto"/>
      </w:pPr>
      <w:r>
        <w:separator/>
      </w:r>
    </w:p>
  </w:endnote>
  <w:endnote w:type="continuationSeparator" w:id="0">
    <w:p w14:paraId="1B254661" w14:textId="77777777" w:rsidR="00C719FD" w:rsidRDefault="00C719FD" w:rsidP="004E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DAA77" w14:textId="6316D1A3" w:rsidR="004E6F7D" w:rsidRPr="004E6F7D" w:rsidRDefault="004E6F7D" w:rsidP="004E6F7D">
    <w:pPr>
      <w:pStyle w:val="Footer"/>
      <w:jc w:val="right"/>
      <w:rPr>
        <w:color w:val="595959" w:themeColor="text1" w:themeTint="A6"/>
      </w:rPr>
    </w:pPr>
    <w:r>
      <w:rPr>
        <w:color w:val="595959" w:themeColor="text1" w:themeTint="A6"/>
      </w:rPr>
      <w:t>©</w:t>
    </w:r>
    <w:r w:rsidR="001E27F6">
      <w:rPr>
        <w:color w:val="595959" w:themeColor="text1" w:themeTint="A6"/>
      </w:rPr>
      <w:fldChar w:fldCharType="begin"/>
    </w:r>
    <w:r w:rsidR="001E27F6">
      <w:rPr>
        <w:color w:val="595959" w:themeColor="text1" w:themeTint="A6"/>
      </w:rPr>
      <w:instrText xml:space="preserve"> DATE  \@ "yyyy"  \* MERGEFORMAT </w:instrText>
    </w:r>
    <w:r w:rsidR="001E27F6">
      <w:rPr>
        <w:color w:val="595959" w:themeColor="text1" w:themeTint="A6"/>
      </w:rPr>
      <w:fldChar w:fldCharType="separate"/>
    </w:r>
    <w:r w:rsidR="00785DEB">
      <w:rPr>
        <w:noProof/>
        <w:color w:val="595959" w:themeColor="text1" w:themeTint="A6"/>
      </w:rPr>
      <w:t>2021</w:t>
    </w:r>
    <w:r w:rsidR="001E27F6">
      <w:rPr>
        <w:color w:val="595959" w:themeColor="text1" w:themeTint="A6"/>
      </w:rPr>
      <w:fldChar w:fldCharType="end"/>
    </w:r>
    <w:r>
      <w:rPr>
        <w:color w:val="595959" w:themeColor="text1" w:themeTint="A6"/>
      </w:rPr>
      <w:t xml:space="preserve"> IAEG®</w:t>
    </w:r>
    <w:r w:rsidRPr="004E6F7D">
      <w:rPr>
        <w:color w:val="595959" w:themeColor="text1" w:themeTint="A6"/>
      </w:rPr>
      <w:ptab w:relativeTo="margin" w:alignment="center" w:leader="none"/>
    </w:r>
    <w:sdt>
      <w:sdtPr>
        <w:rPr>
          <w:color w:val="595959" w:themeColor="text1" w:themeTint="A6"/>
        </w:rPr>
        <w:alias w:val="IP Statement"/>
        <w:tag w:val="IP Statement"/>
        <w:id w:val="-2049291470"/>
        <w:lock w:val="sdtLocked"/>
        <w:comboBox>
          <w:listItem w:value="Choose an item"/>
          <w:listItem w:displayText="Copyright" w:value="Copyright"/>
          <w:listItem w:displayText="IAEG Proprietary - Internal Use Only" w:value="IAEG Proprietary - Internal Use Only"/>
          <w:listItem w:displayText="IAEG WG5 Proprietary - Not for further distribution. Copyright" w:value="IAEG WG5 Proprietary - Not for further distribution. Copyright"/>
        </w:comboBox>
      </w:sdtPr>
      <w:sdtEndPr/>
      <w:sdtContent>
        <w:r w:rsidR="00485426">
          <w:rPr>
            <w:color w:val="595959" w:themeColor="text1" w:themeTint="A6"/>
          </w:rPr>
          <w:t>Copyright</w:t>
        </w:r>
      </w:sdtContent>
    </w:sdt>
    <w:r w:rsidRPr="004E6F7D">
      <w:rPr>
        <w:color w:val="595959" w:themeColor="text1" w:themeTint="A6"/>
      </w:rPr>
      <w:ptab w:relativeTo="margin" w:alignment="right" w:leader="none"/>
    </w:r>
    <w:r w:rsidRPr="004E6F7D">
      <w:rPr>
        <w:color w:val="595959" w:themeColor="text1" w:themeTint="A6"/>
      </w:rPr>
      <w:t xml:space="preserve">Page </w:t>
    </w:r>
    <w:r w:rsidRPr="004E6F7D">
      <w:rPr>
        <w:b/>
        <w:bCs/>
        <w:color w:val="595959" w:themeColor="text1" w:themeTint="A6"/>
        <w:sz w:val="24"/>
        <w:szCs w:val="24"/>
      </w:rPr>
      <w:fldChar w:fldCharType="begin"/>
    </w:r>
    <w:r w:rsidRPr="004E6F7D">
      <w:rPr>
        <w:b/>
        <w:bCs/>
        <w:color w:val="595959" w:themeColor="text1" w:themeTint="A6"/>
      </w:rPr>
      <w:instrText xml:space="preserve"> PAGE </w:instrText>
    </w:r>
    <w:r w:rsidRPr="004E6F7D">
      <w:rPr>
        <w:b/>
        <w:bCs/>
        <w:color w:val="595959" w:themeColor="text1" w:themeTint="A6"/>
        <w:sz w:val="24"/>
        <w:szCs w:val="24"/>
      </w:rPr>
      <w:fldChar w:fldCharType="separate"/>
    </w:r>
    <w:r w:rsidR="007E0D70">
      <w:rPr>
        <w:b/>
        <w:bCs/>
        <w:noProof/>
        <w:color w:val="595959" w:themeColor="text1" w:themeTint="A6"/>
      </w:rPr>
      <w:t>6</w:t>
    </w:r>
    <w:r w:rsidRPr="004E6F7D">
      <w:rPr>
        <w:b/>
        <w:bCs/>
        <w:color w:val="595959" w:themeColor="text1" w:themeTint="A6"/>
        <w:sz w:val="24"/>
        <w:szCs w:val="24"/>
      </w:rPr>
      <w:fldChar w:fldCharType="end"/>
    </w:r>
    <w:r w:rsidRPr="004E6F7D">
      <w:rPr>
        <w:color w:val="595959" w:themeColor="text1" w:themeTint="A6"/>
      </w:rPr>
      <w:t xml:space="preserve"> of </w:t>
    </w:r>
    <w:r w:rsidRPr="004E6F7D">
      <w:rPr>
        <w:b/>
        <w:bCs/>
        <w:color w:val="595959" w:themeColor="text1" w:themeTint="A6"/>
        <w:sz w:val="24"/>
        <w:szCs w:val="24"/>
      </w:rPr>
      <w:fldChar w:fldCharType="begin"/>
    </w:r>
    <w:r w:rsidRPr="004E6F7D">
      <w:rPr>
        <w:b/>
        <w:bCs/>
        <w:color w:val="595959" w:themeColor="text1" w:themeTint="A6"/>
      </w:rPr>
      <w:instrText xml:space="preserve"> NUMPAGES  </w:instrText>
    </w:r>
    <w:r w:rsidRPr="004E6F7D">
      <w:rPr>
        <w:b/>
        <w:bCs/>
        <w:color w:val="595959" w:themeColor="text1" w:themeTint="A6"/>
        <w:sz w:val="24"/>
        <w:szCs w:val="24"/>
      </w:rPr>
      <w:fldChar w:fldCharType="separate"/>
    </w:r>
    <w:r w:rsidR="007E0D70">
      <w:rPr>
        <w:b/>
        <w:bCs/>
        <w:noProof/>
        <w:color w:val="595959" w:themeColor="text1" w:themeTint="A6"/>
      </w:rPr>
      <w:t>21</w:t>
    </w:r>
    <w:r w:rsidRPr="004E6F7D">
      <w:rPr>
        <w:b/>
        <w:bCs/>
        <w:color w:val="595959" w:themeColor="text1" w:themeTint="A6"/>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50ED4" w14:textId="77777777" w:rsidR="00C719FD" w:rsidRDefault="00C719FD" w:rsidP="004E6F7D">
      <w:pPr>
        <w:spacing w:after="0" w:line="240" w:lineRule="auto"/>
      </w:pPr>
      <w:r>
        <w:separator/>
      </w:r>
    </w:p>
  </w:footnote>
  <w:footnote w:type="continuationSeparator" w:id="0">
    <w:p w14:paraId="62C2A3BD" w14:textId="77777777" w:rsidR="00C719FD" w:rsidRDefault="00C719FD" w:rsidP="004E6F7D">
      <w:pPr>
        <w:spacing w:after="0" w:line="240" w:lineRule="auto"/>
      </w:pPr>
      <w:r>
        <w:continuationSeparator/>
      </w:r>
    </w:p>
  </w:footnote>
  <w:footnote w:id="1">
    <w:p w14:paraId="0253E4D8" w14:textId="77777777" w:rsidR="00F86C2F" w:rsidRPr="001F0439" w:rsidRDefault="00F86C2F" w:rsidP="00F86C2F">
      <w:pPr>
        <w:pStyle w:val="FootnoteText"/>
        <w:rPr>
          <w:sz w:val="18"/>
          <w:szCs w:val="18"/>
          <w:lang w:val="fr-CA"/>
        </w:rPr>
      </w:pPr>
      <w:r w:rsidRPr="001F0439">
        <w:rPr>
          <w:rStyle w:val="FootnoteReference"/>
          <w:sz w:val="18"/>
          <w:szCs w:val="18"/>
        </w:rPr>
        <w:footnoteRef/>
      </w:r>
      <w:r w:rsidRPr="001F0439">
        <w:rPr>
          <w:sz w:val="18"/>
          <w:szCs w:val="18"/>
        </w:rPr>
        <w:t xml:space="preserve">   https://ghgprotocol.org/standards/scope-3-standard</w:t>
      </w:r>
    </w:p>
  </w:footnote>
  <w:footnote w:id="2">
    <w:p w14:paraId="677ED801" w14:textId="77777777" w:rsidR="00F86C2F" w:rsidRPr="001F0439" w:rsidRDefault="00F86C2F" w:rsidP="00F86C2F">
      <w:pPr>
        <w:pStyle w:val="FootnoteText"/>
        <w:rPr>
          <w:lang w:val="fr-CA"/>
        </w:rPr>
      </w:pPr>
      <w:r w:rsidRPr="000008C9">
        <w:rPr>
          <w:rStyle w:val="FootnoteReference"/>
          <w:sz w:val="18"/>
          <w:szCs w:val="18"/>
        </w:rPr>
        <w:footnoteRef/>
      </w:r>
      <w:r w:rsidRPr="000008C9">
        <w:rPr>
          <w:sz w:val="18"/>
          <w:szCs w:val="18"/>
          <w:lang w:val="fr-CA"/>
        </w:rPr>
        <w:t xml:space="preserve"> </w:t>
      </w:r>
      <w:r w:rsidRPr="001F0439">
        <w:rPr>
          <w:sz w:val="18"/>
          <w:szCs w:val="18"/>
          <w:lang w:val="fr-CA"/>
        </w:rPr>
        <w:t>https://ghgprotocol.org/standards/scope-3-standard</w:t>
      </w:r>
    </w:p>
  </w:footnote>
  <w:footnote w:id="3">
    <w:p w14:paraId="08319EA6" w14:textId="77777777" w:rsidR="00F86C2F" w:rsidRPr="00854A95" w:rsidRDefault="00F86C2F" w:rsidP="00F86C2F">
      <w:pPr>
        <w:pStyle w:val="FootnoteText"/>
      </w:pPr>
      <w:r w:rsidRPr="00A070CF">
        <w:rPr>
          <w:rStyle w:val="FootnoteReference"/>
          <w:sz w:val="18"/>
        </w:rPr>
        <w:footnoteRef/>
      </w:r>
      <w:r w:rsidRPr="00A070CF">
        <w:rPr>
          <w:sz w:val="18"/>
        </w:rPr>
        <w:t xml:space="preserve"> https://ghgprotocol.org/</w:t>
      </w:r>
      <w:r w:rsidRPr="001F0439">
        <w:rPr>
          <w:sz w:val="18"/>
          <w:szCs w:val="18"/>
        </w:rPr>
        <w:t>corporate-standard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195AC" w14:textId="51CF4050" w:rsidR="004E6F7D" w:rsidRPr="00F16B65" w:rsidRDefault="00CE23C9" w:rsidP="00CE23C9">
    <w:pPr>
      <w:pStyle w:val="Header"/>
      <w:jc w:val="right"/>
      <w:rPr>
        <w:color w:val="595959" w:themeColor="text1" w:themeTint="A6"/>
      </w:rPr>
    </w:pPr>
    <w:r w:rsidRPr="00F16B65">
      <w:rPr>
        <w:rStyle w:val="SubtitleChar"/>
        <w:rFonts w:eastAsiaTheme="minorEastAsia"/>
        <w:color w:val="595959" w:themeColor="text1" w:themeTint="A6"/>
      </w:rPr>
      <w:t>Versio</w:t>
    </w:r>
    <w:r w:rsidR="00501979" w:rsidRPr="00F16B65">
      <w:rPr>
        <w:rStyle w:val="SubtitleChar"/>
        <w:rFonts w:eastAsiaTheme="minorEastAsia"/>
        <w:color w:val="595959" w:themeColor="text1" w:themeTint="A6"/>
      </w:rPr>
      <w:t>n</w:t>
    </w:r>
    <w:r w:rsidR="00E67BA0" w:rsidRPr="00F16B65">
      <w:rPr>
        <w:rStyle w:val="SubtitleChar"/>
        <w:rFonts w:eastAsiaTheme="minorEastAsia"/>
        <w:color w:val="595959" w:themeColor="text1" w:themeTint="A6"/>
      </w:rPr>
      <w:t xml:space="preserve"> </w:t>
    </w:r>
    <w:r w:rsidR="00485426">
      <w:rPr>
        <w:rStyle w:val="SubtitleChar"/>
        <w:rFonts w:eastAsiaTheme="minorEastAsia"/>
        <w:b/>
        <w:i w:val="0"/>
        <w:color w:val="595959" w:themeColor="text1" w:themeTint="A6"/>
      </w:rPr>
      <w:t xml:space="preserve">1.0 </w:t>
    </w:r>
    <w:r w:rsidR="00501979" w:rsidRPr="00F16B65">
      <w:rPr>
        <w:color w:val="595959" w:themeColor="text1" w:themeTint="A6"/>
      </w:rPr>
      <w:fldChar w:fldCharType="begin"/>
    </w:r>
    <w:r w:rsidR="00501979" w:rsidRPr="00F16B65">
      <w:rPr>
        <w:color w:val="595959" w:themeColor="text1" w:themeTint="A6"/>
      </w:rPr>
      <w:instrText xml:space="preserve"> REF Version \h </w:instrText>
    </w:r>
    <w:r w:rsidR="00501979" w:rsidRPr="00F16B65">
      <w:rPr>
        <w:color w:val="595959" w:themeColor="text1" w:themeTint="A6"/>
      </w:rPr>
    </w:r>
    <w:r w:rsidR="00501979" w:rsidRPr="00F16B65">
      <w:rPr>
        <w:color w:val="595959" w:themeColor="text1" w:themeTint="A6"/>
      </w:rPr>
      <w:fldChar w:fldCharType="end"/>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004E6F7D" w:rsidRPr="00F16B65">
      <w:rPr>
        <w:color w:val="595959" w:themeColor="text1" w:themeTint="A6"/>
      </w:rPr>
      <w:ptab w:relativeTo="margin" w:alignment="center" w:leader="none"/>
    </w:r>
    <w:sdt>
      <w:sdtPr>
        <w:rPr>
          <w:color w:val="595959" w:themeColor="text1" w:themeTint="A6"/>
        </w:rPr>
        <w:id w:val="504788237"/>
      </w:sdtPr>
      <w:sdtEndPr/>
      <w:sdtContent>
        <w:sdt>
          <w:sdtPr>
            <w:rPr>
              <w:color w:val="595959" w:themeColor="text1" w:themeTint="A6"/>
            </w:rPr>
            <w:alias w:val="Title"/>
            <w:tag w:val=""/>
            <w:id w:val="-792905394"/>
            <w:dataBinding w:prefixMappings="xmlns:ns0='http://purl.org/dc/elements/1.1/' xmlns:ns1='http://schemas.openxmlformats.org/package/2006/metadata/core-properties' " w:xpath="/ns1:coreProperties[1]/ns0:title[1]" w:storeItemID="{6C3C8BC8-F283-45AE-878A-BAB7291924A1}"/>
            <w:text/>
          </w:sdtPr>
          <w:sdtEndPr/>
          <w:sdtContent>
            <w:r w:rsidR="00836ACA">
              <w:rPr>
                <w:color w:val="595959" w:themeColor="text1" w:themeTint="A6"/>
              </w:rPr>
              <w:t>Aerospace Industry Tool for Calculating Scope 3 Greenhouse Gas Emissions of Purchased Goods &amp; Services and Capital Goods: User Guide</w:t>
            </w:r>
          </w:sdtContent>
        </w:sdt>
      </w:sdtContent>
    </w:sdt>
    <w:r w:rsidR="004E6F7D" w:rsidRPr="00F16B65">
      <w:rPr>
        <w:color w:val="595959" w:themeColor="text1" w:themeTint="A6"/>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A7F9" w14:textId="77777777" w:rsidR="00CC44D2" w:rsidRDefault="000F44C1">
    <w:pPr>
      <w:pStyle w:val="Header"/>
    </w:pPr>
    <w:r>
      <w:tab/>
    </w:r>
    <w:r w:rsidR="00CC44D2">
      <w:rPr>
        <w:noProof/>
        <w:lang w:eastAsia="en-US"/>
      </w:rPr>
      <w:drawing>
        <wp:inline distT="0" distB="0" distL="0" distR="0" wp14:anchorId="6950266D" wp14:editId="42DF0F1F">
          <wp:extent cx="3118104" cy="103327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png"/>
                  <pic:cNvPicPr/>
                </pic:nvPicPr>
                <pic:blipFill>
                  <a:blip r:embed="rId1">
                    <a:extLst>
                      <a:ext uri="{28A0092B-C50C-407E-A947-70E740481C1C}">
                        <a14:useLocalDpi xmlns:a14="http://schemas.microsoft.com/office/drawing/2010/main" val="0"/>
                      </a:ext>
                    </a:extLst>
                  </a:blip>
                  <a:stretch>
                    <a:fillRect/>
                  </a:stretch>
                </pic:blipFill>
                <pic:spPr>
                  <a:xfrm>
                    <a:off x="0" y="0"/>
                    <a:ext cx="3118104" cy="1033272"/>
                  </a:xfrm>
                  <a:prstGeom prst="rect">
                    <a:avLst/>
                  </a:prstGeom>
                </pic:spPr>
              </pic:pic>
            </a:graphicData>
          </a:graphic>
        </wp:inline>
      </w:drawing>
    </w:r>
  </w:p>
  <w:p w14:paraId="3F95D166" w14:textId="77777777" w:rsidR="00CF54E8" w:rsidRDefault="00CF54E8">
    <w:pPr>
      <w:pStyle w:val="Header"/>
    </w:pPr>
  </w:p>
  <w:p w14:paraId="718F1D01" w14:textId="77777777" w:rsidR="00485426" w:rsidRDefault="00485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0947"/>
    <w:multiLevelType w:val="hybridMultilevel"/>
    <w:tmpl w:val="2F24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F657B"/>
    <w:multiLevelType w:val="hybridMultilevel"/>
    <w:tmpl w:val="D68C781E"/>
    <w:lvl w:ilvl="0" w:tplc="D4CAF432">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96B4D"/>
    <w:multiLevelType w:val="hybridMultilevel"/>
    <w:tmpl w:val="772AE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516CD"/>
    <w:multiLevelType w:val="hybridMultilevel"/>
    <w:tmpl w:val="DD3AB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5590B39"/>
    <w:multiLevelType w:val="hybridMultilevel"/>
    <w:tmpl w:val="65ECA1DE"/>
    <w:lvl w:ilvl="0" w:tplc="04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CD5186"/>
    <w:multiLevelType w:val="hybridMultilevel"/>
    <w:tmpl w:val="9534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7587F"/>
    <w:multiLevelType w:val="hybridMultilevel"/>
    <w:tmpl w:val="98A2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A2AFD"/>
    <w:multiLevelType w:val="hybridMultilevel"/>
    <w:tmpl w:val="ED021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75626"/>
    <w:multiLevelType w:val="hybridMultilevel"/>
    <w:tmpl w:val="8BAA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05BC5"/>
    <w:multiLevelType w:val="hybridMultilevel"/>
    <w:tmpl w:val="57C4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55B8C"/>
    <w:multiLevelType w:val="hybridMultilevel"/>
    <w:tmpl w:val="95D6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721B5"/>
    <w:multiLevelType w:val="hybridMultilevel"/>
    <w:tmpl w:val="CD3638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694144"/>
    <w:multiLevelType w:val="multilevel"/>
    <w:tmpl w:val="3C34F526"/>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19B2412"/>
    <w:multiLevelType w:val="hybridMultilevel"/>
    <w:tmpl w:val="F0C66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D610B"/>
    <w:multiLevelType w:val="hybridMultilevel"/>
    <w:tmpl w:val="5CA4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B2C64"/>
    <w:multiLevelType w:val="hybridMultilevel"/>
    <w:tmpl w:val="75D6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A42516"/>
    <w:multiLevelType w:val="multilevel"/>
    <w:tmpl w:val="02780A5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70B6BDB"/>
    <w:multiLevelType w:val="hybridMultilevel"/>
    <w:tmpl w:val="2072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629C5"/>
    <w:multiLevelType w:val="hybridMultilevel"/>
    <w:tmpl w:val="C3F65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E6AB7"/>
    <w:multiLevelType w:val="hybridMultilevel"/>
    <w:tmpl w:val="7C4E4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030A54"/>
    <w:multiLevelType w:val="hybridMultilevel"/>
    <w:tmpl w:val="B2C00954"/>
    <w:lvl w:ilvl="0" w:tplc="04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D97620"/>
    <w:multiLevelType w:val="hybridMultilevel"/>
    <w:tmpl w:val="DBC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4"/>
  </w:num>
  <w:num w:numId="4">
    <w:abstractNumId w:val="7"/>
  </w:num>
  <w:num w:numId="5">
    <w:abstractNumId w:val="12"/>
  </w:num>
  <w:num w:numId="6">
    <w:abstractNumId w:val="13"/>
  </w:num>
  <w:num w:numId="7">
    <w:abstractNumId w:val="6"/>
  </w:num>
  <w:num w:numId="8">
    <w:abstractNumId w:val="9"/>
  </w:num>
  <w:num w:numId="9">
    <w:abstractNumId w:val="1"/>
  </w:num>
  <w:num w:numId="10">
    <w:abstractNumId w:val="2"/>
  </w:num>
  <w:num w:numId="11">
    <w:abstractNumId w:val="15"/>
  </w:num>
  <w:num w:numId="12">
    <w:abstractNumId w:val="11"/>
  </w:num>
  <w:num w:numId="13">
    <w:abstractNumId w:val="3"/>
  </w:num>
  <w:num w:numId="14">
    <w:abstractNumId w:val="10"/>
  </w:num>
  <w:num w:numId="15">
    <w:abstractNumId w:val="16"/>
  </w:num>
  <w:num w:numId="16">
    <w:abstractNumId w:val="4"/>
  </w:num>
  <w:num w:numId="17">
    <w:abstractNumId w:val="0"/>
  </w:num>
  <w:num w:numId="18">
    <w:abstractNumId w:val="5"/>
  </w:num>
  <w:num w:numId="19">
    <w:abstractNumId w:val="8"/>
  </w:num>
  <w:num w:numId="20">
    <w:abstractNumId w:val="18"/>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9E"/>
    <w:rsid w:val="0006659A"/>
    <w:rsid w:val="000F44C1"/>
    <w:rsid w:val="0012278B"/>
    <w:rsid w:val="001E27F6"/>
    <w:rsid w:val="00266DA6"/>
    <w:rsid w:val="00314735"/>
    <w:rsid w:val="00363467"/>
    <w:rsid w:val="00381295"/>
    <w:rsid w:val="003B69ED"/>
    <w:rsid w:val="003C2483"/>
    <w:rsid w:val="003D124F"/>
    <w:rsid w:val="003E7CE1"/>
    <w:rsid w:val="00401A4F"/>
    <w:rsid w:val="00401E35"/>
    <w:rsid w:val="00414C46"/>
    <w:rsid w:val="00485426"/>
    <w:rsid w:val="004E6F7D"/>
    <w:rsid w:val="00501979"/>
    <w:rsid w:val="005162F6"/>
    <w:rsid w:val="0053713C"/>
    <w:rsid w:val="005774C5"/>
    <w:rsid w:val="00580AB3"/>
    <w:rsid w:val="006550F8"/>
    <w:rsid w:val="00710BE3"/>
    <w:rsid w:val="0071690D"/>
    <w:rsid w:val="00785DEB"/>
    <w:rsid w:val="007E0D70"/>
    <w:rsid w:val="007E5D6C"/>
    <w:rsid w:val="00836ACA"/>
    <w:rsid w:val="00836D3F"/>
    <w:rsid w:val="009102CE"/>
    <w:rsid w:val="00946539"/>
    <w:rsid w:val="009B0707"/>
    <w:rsid w:val="009B61C8"/>
    <w:rsid w:val="00A4239E"/>
    <w:rsid w:val="00A71658"/>
    <w:rsid w:val="00AE3E1E"/>
    <w:rsid w:val="00AE6546"/>
    <w:rsid w:val="00B9182B"/>
    <w:rsid w:val="00BF7028"/>
    <w:rsid w:val="00C719FD"/>
    <w:rsid w:val="00CC44D2"/>
    <w:rsid w:val="00CE23C9"/>
    <w:rsid w:val="00CF4559"/>
    <w:rsid w:val="00CF54E8"/>
    <w:rsid w:val="00D716D4"/>
    <w:rsid w:val="00D965CF"/>
    <w:rsid w:val="00DA0162"/>
    <w:rsid w:val="00E67BA0"/>
    <w:rsid w:val="00F16B65"/>
    <w:rsid w:val="00F869F4"/>
    <w:rsid w:val="00F86C2F"/>
    <w:rsid w:val="00FA199B"/>
    <w:rsid w:val="00FB2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28B5E"/>
  <w15:docId w15:val="{71868E72-E3AD-495A-8AE7-5C3E27CD9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F7D"/>
    <w:pPr>
      <w:jc w:val="both"/>
    </w:pPr>
    <w:rPr>
      <w:lang w:val="en-US"/>
    </w:rPr>
  </w:style>
  <w:style w:type="paragraph" w:styleId="Heading1">
    <w:name w:val="heading 1"/>
    <w:basedOn w:val="Normal"/>
    <w:next w:val="Normal"/>
    <w:link w:val="Heading1Char"/>
    <w:uiPriority w:val="9"/>
    <w:qFormat/>
    <w:rsid w:val="00A4239E"/>
    <w:pPr>
      <w:numPr>
        <w:numId w:val="5"/>
      </w:num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A4239E"/>
    <w:pPr>
      <w:numPr>
        <w:ilvl w:val="1"/>
        <w:numId w:val="5"/>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unhideWhenUsed/>
    <w:qFormat/>
    <w:rsid w:val="00A4239E"/>
    <w:pPr>
      <w:numPr>
        <w:ilvl w:val="2"/>
        <w:numId w:val="5"/>
      </w:numPr>
      <w:spacing w:before="200" w:after="0" w:line="271" w:lineRule="auto"/>
      <w:outlineLvl w:val="2"/>
    </w:pPr>
    <w:rPr>
      <w:rFonts w:ascii="Cambria" w:eastAsia="Times New Roman" w:hAnsi="Cambria" w:cs="Times New Roman"/>
      <w:b/>
      <w:bCs/>
    </w:rPr>
  </w:style>
  <w:style w:type="paragraph" w:styleId="Heading4">
    <w:name w:val="heading 4"/>
    <w:basedOn w:val="Normal"/>
    <w:next w:val="Normal"/>
    <w:link w:val="Heading4Char"/>
    <w:uiPriority w:val="9"/>
    <w:unhideWhenUsed/>
    <w:qFormat/>
    <w:rsid w:val="00A4239E"/>
    <w:pPr>
      <w:numPr>
        <w:ilvl w:val="3"/>
        <w:numId w:val="5"/>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unhideWhenUsed/>
    <w:qFormat/>
    <w:rsid w:val="00A4239E"/>
    <w:pPr>
      <w:numPr>
        <w:ilvl w:val="4"/>
        <w:numId w:val="5"/>
      </w:num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A4239E"/>
    <w:pPr>
      <w:numPr>
        <w:ilvl w:val="5"/>
        <w:numId w:val="5"/>
      </w:num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A4239E"/>
    <w:pPr>
      <w:numPr>
        <w:ilvl w:val="6"/>
        <w:numId w:val="5"/>
      </w:num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A4239E"/>
    <w:pPr>
      <w:numPr>
        <w:ilvl w:val="7"/>
        <w:numId w:val="5"/>
      </w:num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A4239E"/>
    <w:pPr>
      <w:numPr>
        <w:ilvl w:val="8"/>
        <w:numId w:val="5"/>
      </w:num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39E"/>
    <w:rPr>
      <w:rFonts w:ascii="Cambria" w:eastAsia="Times New Roman" w:hAnsi="Cambria" w:cs="Times New Roman"/>
      <w:b/>
      <w:bCs/>
      <w:sz w:val="28"/>
      <w:szCs w:val="28"/>
    </w:rPr>
  </w:style>
  <w:style w:type="character" w:customStyle="1" w:styleId="Heading2Char">
    <w:name w:val="Heading 2 Char"/>
    <w:link w:val="Heading2"/>
    <w:uiPriority w:val="9"/>
    <w:rsid w:val="00A4239E"/>
    <w:rPr>
      <w:rFonts w:ascii="Cambria" w:eastAsia="Times New Roman" w:hAnsi="Cambria" w:cs="Times New Roman"/>
      <w:b/>
      <w:bCs/>
      <w:sz w:val="26"/>
      <w:szCs w:val="26"/>
    </w:rPr>
  </w:style>
  <w:style w:type="character" w:customStyle="1" w:styleId="Heading3Char">
    <w:name w:val="Heading 3 Char"/>
    <w:link w:val="Heading3"/>
    <w:uiPriority w:val="9"/>
    <w:rsid w:val="00A4239E"/>
    <w:rPr>
      <w:rFonts w:ascii="Cambria" w:eastAsia="Times New Roman" w:hAnsi="Cambria" w:cs="Times New Roman"/>
      <w:b/>
      <w:bCs/>
    </w:rPr>
  </w:style>
  <w:style w:type="character" w:customStyle="1" w:styleId="Heading4Char">
    <w:name w:val="Heading 4 Char"/>
    <w:link w:val="Heading4"/>
    <w:uiPriority w:val="9"/>
    <w:rsid w:val="00A4239E"/>
    <w:rPr>
      <w:rFonts w:ascii="Cambria" w:eastAsia="Times New Roman" w:hAnsi="Cambria" w:cs="Times New Roman"/>
      <w:b/>
      <w:bCs/>
      <w:i/>
      <w:iCs/>
    </w:rPr>
  </w:style>
  <w:style w:type="character" w:customStyle="1" w:styleId="Heading5Char">
    <w:name w:val="Heading 5 Char"/>
    <w:link w:val="Heading5"/>
    <w:uiPriority w:val="9"/>
    <w:rsid w:val="00A4239E"/>
    <w:rPr>
      <w:rFonts w:ascii="Cambria" w:eastAsia="Times New Roman" w:hAnsi="Cambria" w:cs="Times New Roman"/>
      <w:b/>
      <w:bCs/>
      <w:color w:val="7F7F7F"/>
    </w:rPr>
  </w:style>
  <w:style w:type="character" w:customStyle="1" w:styleId="Heading6Char">
    <w:name w:val="Heading 6 Char"/>
    <w:link w:val="Heading6"/>
    <w:uiPriority w:val="9"/>
    <w:semiHidden/>
    <w:rsid w:val="00A4239E"/>
    <w:rPr>
      <w:rFonts w:ascii="Cambria" w:eastAsia="Times New Roman" w:hAnsi="Cambria" w:cs="Times New Roman"/>
      <w:b/>
      <w:bCs/>
      <w:i/>
      <w:iCs/>
      <w:color w:val="7F7F7F"/>
    </w:rPr>
  </w:style>
  <w:style w:type="character" w:customStyle="1" w:styleId="Heading7Char">
    <w:name w:val="Heading 7 Char"/>
    <w:link w:val="Heading7"/>
    <w:uiPriority w:val="9"/>
    <w:semiHidden/>
    <w:rsid w:val="00A4239E"/>
    <w:rPr>
      <w:rFonts w:ascii="Cambria" w:eastAsia="Times New Roman" w:hAnsi="Cambria" w:cs="Times New Roman"/>
      <w:i/>
      <w:iCs/>
    </w:rPr>
  </w:style>
  <w:style w:type="character" w:customStyle="1" w:styleId="Heading8Char">
    <w:name w:val="Heading 8 Char"/>
    <w:link w:val="Heading8"/>
    <w:uiPriority w:val="9"/>
    <w:semiHidden/>
    <w:rsid w:val="00A4239E"/>
    <w:rPr>
      <w:rFonts w:ascii="Cambria" w:eastAsia="Times New Roman" w:hAnsi="Cambria" w:cs="Times New Roman"/>
      <w:sz w:val="20"/>
      <w:szCs w:val="20"/>
    </w:rPr>
  </w:style>
  <w:style w:type="character" w:customStyle="1" w:styleId="Heading9Char">
    <w:name w:val="Heading 9 Char"/>
    <w:link w:val="Heading9"/>
    <w:uiPriority w:val="9"/>
    <w:semiHidden/>
    <w:rsid w:val="00A4239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9102CE"/>
    <w:pPr>
      <w:pBdr>
        <w:bottom w:val="single" w:sz="4" w:space="1" w:color="auto"/>
      </w:pBdr>
      <w:spacing w:line="240" w:lineRule="auto"/>
      <w:contextualSpacing/>
      <w:jc w:val="left"/>
    </w:pPr>
    <w:rPr>
      <w:rFonts w:ascii="Cambria" w:eastAsia="Times New Roman" w:hAnsi="Cambria" w:cs="Times New Roman"/>
      <w:b/>
      <w:spacing w:val="5"/>
      <w:sz w:val="52"/>
      <w:szCs w:val="52"/>
    </w:rPr>
  </w:style>
  <w:style w:type="character" w:customStyle="1" w:styleId="TitleChar">
    <w:name w:val="Title Char"/>
    <w:link w:val="Title"/>
    <w:uiPriority w:val="10"/>
    <w:rsid w:val="009102CE"/>
    <w:rPr>
      <w:rFonts w:ascii="Cambria" w:eastAsia="Times New Roman" w:hAnsi="Cambria" w:cs="Times New Roman"/>
      <w:b/>
      <w:spacing w:val="5"/>
      <w:sz w:val="52"/>
      <w:szCs w:val="52"/>
    </w:rPr>
  </w:style>
  <w:style w:type="paragraph" w:styleId="Subtitle">
    <w:name w:val="Subtitle"/>
    <w:basedOn w:val="Normal"/>
    <w:next w:val="Normal"/>
    <w:link w:val="SubtitleChar"/>
    <w:uiPriority w:val="11"/>
    <w:qFormat/>
    <w:rsid w:val="00FA199B"/>
    <w:pPr>
      <w:spacing w:line="240" w:lineRule="auto"/>
    </w:pPr>
    <w:rPr>
      <w:rFonts w:ascii="Cambria" w:eastAsia="Times New Roman" w:hAnsi="Cambria" w:cs="Times New Roman"/>
      <w:i/>
      <w:iCs/>
      <w:spacing w:val="13"/>
      <w:sz w:val="24"/>
      <w:szCs w:val="24"/>
    </w:rPr>
  </w:style>
  <w:style w:type="character" w:customStyle="1" w:styleId="SubtitleChar">
    <w:name w:val="Subtitle Char"/>
    <w:link w:val="Subtitle"/>
    <w:uiPriority w:val="11"/>
    <w:rsid w:val="00FA199B"/>
    <w:rPr>
      <w:rFonts w:ascii="Cambria" w:eastAsia="Times New Roman" w:hAnsi="Cambria" w:cs="Times New Roman"/>
      <w:i/>
      <w:iCs/>
      <w:spacing w:val="13"/>
      <w:sz w:val="24"/>
      <w:szCs w:val="24"/>
    </w:rPr>
  </w:style>
  <w:style w:type="character" w:styleId="Strong">
    <w:name w:val="Strong"/>
    <w:uiPriority w:val="22"/>
    <w:qFormat/>
    <w:rsid w:val="00A4239E"/>
    <w:rPr>
      <w:b/>
      <w:bCs/>
    </w:rPr>
  </w:style>
  <w:style w:type="character" w:styleId="Emphasis">
    <w:name w:val="Emphasis"/>
    <w:uiPriority w:val="20"/>
    <w:qFormat/>
    <w:rsid w:val="00A4239E"/>
    <w:rPr>
      <w:b/>
      <w:bCs/>
      <w:i/>
      <w:iCs/>
      <w:spacing w:val="10"/>
      <w:bdr w:val="none" w:sz="0" w:space="0" w:color="auto"/>
      <w:shd w:val="clear" w:color="auto" w:fill="auto"/>
    </w:rPr>
  </w:style>
  <w:style w:type="paragraph" w:styleId="NoSpacing">
    <w:name w:val="No Spacing"/>
    <w:basedOn w:val="Normal"/>
    <w:uiPriority w:val="1"/>
    <w:qFormat/>
    <w:rsid w:val="00A4239E"/>
    <w:pPr>
      <w:spacing w:after="0" w:line="240" w:lineRule="auto"/>
    </w:pPr>
  </w:style>
  <w:style w:type="paragraph" w:styleId="ListParagraph">
    <w:name w:val="List Paragraph"/>
    <w:basedOn w:val="Normal"/>
    <w:uiPriority w:val="34"/>
    <w:qFormat/>
    <w:rsid w:val="00A4239E"/>
    <w:pPr>
      <w:ind w:left="720"/>
      <w:contextualSpacing/>
    </w:pPr>
  </w:style>
  <w:style w:type="paragraph" w:styleId="Quote">
    <w:name w:val="Quote"/>
    <w:basedOn w:val="Normal"/>
    <w:next w:val="Normal"/>
    <w:link w:val="QuoteChar"/>
    <w:uiPriority w:val="29"/>
    <w:qFormat/>
    <w:rsid w:val="00A4239E"/>
    <w:pPr>
      <w:spacing w:before="200" w:after="0"/>
      <w:ind w:left="360" w:right="360"/>
    </w:pPr>
    <w:rPr>
      <w:i/>
      <w:iCs/>
    </w:rPr>
  </w:style>
  <w:style w:type="character" w:customStyle="1" w:styleId="QuoteChar">
    <w:name w:val="Quote Char"/>
    <w:link w:val="Quote"/>
    <w:uiPriority w:val="29"/>
    <w:rsid w:val="00A4239E"/>
    <w:rPr>
      <w:i/>
      <w:iCs/>
    </w:rPr>
  </w:style>
  <w:style w:type="paragraph" w:styleId="IntenseQuote">
    <w:name w:val="Intense Quote"/>
    <w:basedOn w:val="Normal"/>
    <w:next w:val="Normal"/>
    <w:link w:val="IntenseQuoteChar"/>
    <w:uiPriority w:val="30"/>
    <w:rsid w:val="00A4239E"/>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A4239E"/>
    <w:rPr>
      <w:b/>
      <w:bCs/>
      <w:i/>
      <w:iCs/>
    </w:rPr>
  </w:style>
  <w:style w:type="character" w:styleId="SubtleEmphasis">
    <w:name w:val="Subtle Emphasis"/>
    <w:uiPriority w:val="19"/>
    <w:qFormat/>
    <w:rsid w:val="00A4239E"/>
    <w:rPr>
      <w:i/>
      <w:iCs/>
    </w:rPr>
  </w:style>
  <w:style w:type="character" w:styleId="IntenseEmphasis">
    <w:name w:val="Intense Emphasis"/>
    <w:uiPriority w:val="21"/>
    <w:rsid w:val="00A4239E"/>
    <w:rPr>
      <w:b/>
      <w:bCs/>
    </w:rPr>
  </w:style>
  <w:style w:type="character" w:styleId="SubtleReference">
    <w:name w:val="Subtle Reference"/>
    <w:uiPriority w:val="31"/>
    <w:rsid w:val="00A4239E"/>
    <w:rPr>
      <w:smallCaps/>
    </w:rPr>
  </w:style>
  <w:style w:type="character" w:styleId="IntenseReference">
    <w:name w:val="Intense Reference"/>
    <w:uiPriority w:val="32"/>
    <w:rsid w:val="00A4239E"/>
    <w:rPr>
      <w:smallCaps/>
      <w:spacing w:val="5"/>
      <w:u w:val="single"/>
    </w:rPr>
  </w:style>
  <w:style w:type="character" w:styleId="BookTitle">
    <w:name w:val="Book Title"/>
    <w:uiPriority w:val="33"/>
    <w:rsid w:val="00A4239E"/>
    <w:rPr>
      <w:i/>
      <w:iCs/>
      <w:smallCaps/>
      <w:spacing w:val="5"/>
    </w:rPr>
  </w:style>
  <w:style w:type="paragraph" w:styleId="TOCHeading">
    <w:name w:val="TOC Heading"/>
    <w:basedOn w:val="Heading1"/>
    <w:next w:val="Normal"/>
    <w:uiPriority w:val="39"/>
    <w:unhideWhenUsed/>
    <w:qFormat/>
    <w:rsid w:val="00A4239E"/>
    <w:pPr>
      <w:outlineLvl w:val="9"/>
    </w:pPr>
    <w:rPr>
      <w:lang w:bidi="en-US"/>
    </w:rPr>
  </w:style>
  <w:style w:type="character" w:styleId="PlaceholderText">
    <w:name w:val="Placeholder Text"/>
    <w:basedOn w:val="DefaultParagraphFont"/>
    <w:uiPriority w:val="99"/>
    <w:semiHidden/>
    <w:rsid w:val="004E6F7D"/>
    <w:rPr>
      <w:color w:val="808080"/>
    </w:rPr>
  </w:style>
  <w:style w:type="paragraph" w:styleId="BalloonText">
    <w:name w:val="Balloon Text"/>
    <w:basedOn w:val="Normal"/>
    <w:link w:val="BalloonTextChar"/>
    <w:uiPriority w:val="99"/>
    <w:semiHidden/>
    <w:unhideWhenUsed/>
    <w:rsid w:val="004E6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F7D"/>
    <w:rPr>
      <w:rFonts w:ascii="Tahoma" w:hAnsi="Tahoma" w:cs="Tahoma"/>
      <w:sz w:val="16"/>
      <w:szCs w:val="16"/>
    </w:rPr>
  </w:style>
  <w:style w:type="paragraph" w:styleId="Header">
    <w:name w:val="header"/>
    <w:basedOn w:val="Normal"/>
    <w:link w:val="HeaderChar"/>
    <w:uiPriority w:val="99"/>
    <w:unhideWhenUsed/>
    <w:rsid w:val="004E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7D"/>
  </w:style>
  <w:style w:type="paragraph" w:styleId="Footer">
    <w:name w:val="footer"/>
    <w:basedOn w:val="Normal"/>
    <w:link w:val="FooterChar"/>
    <w:uiPriority w:val="99"/>
    <w:unhideWhenUsed/>
    <w:rsid w:val="004E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7D"/>
  </w:style>
  <w:style w:type="paragraph" w:styleId="TOC1">
    <w:name w:val="toc 1"/>
    <w:basedOn w:val="Normal"/>
    <w:next w:val="Normal"/>
    <w:autoRedefine/>
    <w:uiPriority w:val="39"/>
    <w:unhideWhenUsed/>
    <w:rsid w:val="004E6F7D"/>
    <w:pPr>
      <w:spacing w:after="100"/>
    </w:pPr>
  </w:style>
  <w:style w:type="paragraph" w:styleId="TOC2">
    <w:name w:val="toc 2"/>
    <w:basedOn w:val="Normal"/>
    <w:next w:val="Normal"/>
    <w:autoRedefine/>
    <w:uiPriority w:val="39"/>
    <w:unhideWhenUsed/>
    <w:rsid w:val="004E6F7D"/>
    <w:pPr>
      <w:spacing w:after="100"/>
      <w:ind w:left="220"/>
    </w:pPr>
  </w:style>
  <w:style w:type="paragraph" w:styleId="TOC3">
    <w:name w:val="toc 3"/>
    <w:basedOn w:val="Normal"/>
    <w:next w:val="Normal"/>
    <w:autoRedefine/>
    <w:uiPriority w:val="39"/>
    <w:unhideWhenUsed/>
    <w:rsid w:val="004E6F7D"/>
    <w:pPr>
      <w:spacing w:after="100"/>
      <w:ind w:left="440"/>
    </w:pPr>
  </w:style>
  <w:style w:type="character" w:styleId="Hyperlink">
    <w:name w:val="Hyperlink"/>
    <w:basedOn w:val="DefaultParagraphFont"/>
    <w:uiPriority w:val="99"/>
    <w:unhideWhenUsed/>
    <w:rsid w:val="004E6F7D"/>
    <w:rPr>
      <w:color w:val="0000FF" w:themeColor="hyperlink"/>
      <w:u w:val="single"/>
    </w:rPr>
  </w:style>
  <w:style w:type="table" w:styleId="TableGrid">
    <w:name w:val="Table Grid"/>
    <w:basedOn w:val="TableNormal"/>
    <w:uiPriority w:val="59"/>
    <w:rsid w:val="004E6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401E35"/>
    <w:pPr>
      <w:numPr>
        <w:numId w:val="9"/>
      </w:numPr>
      <w:spacing w:after="0" w:line="260" w:lineRule="exact"/>
      <w:jc w:val="left"/>
    </w:pPr>
    <w:rPr>
      <w:rFonts w:ascii="Arial" w:eastAsia="Times New Roman" w:hAnsi="Arial" w:cs="Times New Roman"/>
      <w:sz w:val="20"/>
      <w:szCs w:val="20"/>
      <w:lang w:eastAsia="en-US"/>
    </w:rPr>
  </w:style>
  <w:style w:type="paragraph" w:styleId="NormalWeb">
    <w:name w:val="Normal (Web)"/>
    <w:basedOn w:val="Normal"/>
    <w:uiPriority w:val="99"/>
    <w:semiHidden/>
    <w:unhideWhenUsed/>
    <w:rsid w:val="00CC44D2"/>
    <w:pPr>
      <w:spacing w:before="100" w:beforeAutospacing="1" w:after="100" w:afterAutospacing="1" w:line="240" w:lineRule="auto"/>
      <w:jc w:val="left"/>
    </w:pPr>
    <w:rPr>
      <w:rFonts w:ascii="Times New Roman" w:hAnsi="Times New Roman" w:cs="Times New Roman"/>
      <w:sz w:val="24"/>
      <w:szCs w:val="24"/>
      <w:lang w:eastAsia="en-US"/>
    </w:rPr>
  </w:style>
  <w:style w:type="table" w:styleId="LightShading-Accent1">
    <w:name w:val="Light Shading Accent 1"/>
    <w:basedOn w:val="TableNormal"/>
    <w:uiPriority w:val="60"/>
    <w:rsid w:val="00485426"/>
    <w:pPr>
      <w:spacing w:after="0" w:line="240" w:lineRule="auto"/>
    </w:pPr>
    <w:rPr>
      <w:rFonts w:eastAsiaTheme="minorHAnsi"/>
      <w:color w:val="365F91" w:themeColor="accent1" w:themeShade="BF"/>
      <w:sz w:val="24"/>
      <w:szCs w:val="24"/>
      <w:lang w:val="fr-FR"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BF7028"/>
    <w:pPr>
      <w:spacing w:line="240" w:lineRule="auto"/>
      <w:jc w:val="left"/>
    </w:pPr>
    <w:rPr>
      <w:rFonts w:eastAsiaTheme="minorHAnsi"/>
      <w:b/>
      <w:bCs/>
      <w:color w:val="76923C" w:themeColor="accent3" w:themeShade="BF"/>
      <w:sz w:val="18"/>
      <w:szCs w:val="18"/>
      <w:lang w:eastAsia="en-US"/>
    </w:rPr>
  </w:style>
  <w:style w:type="paragraph" w:styleId="FootnoteText">
    <w:name w:val="footnote text"/>
    <w:basedOn w:val="Normal"/>
    <w:link w:val="FootnoteTextChar"/>
    <w:uiPriority w:val="99"/>
    <w:unhideWhenUsed/>
    <w:rsid w:val="00F86C2F"/>
    <w:pPr>
      <w:spacing w:after="0" w:line="240" w:lineRule="auto"/>
      <w:jc w:val="left"/>
    </w:pPr>
    <w:rPr>
      <w:rFonts w:eastAsiaTheme="minorHAnsi"/>
      <w:sz w:val="24"/>
      <w:szCs w:val="24"/>
      <w:lang w:eastAsia="en-US"/>
    </w:rPr>
  </w:style>
  <w:style w:type="character" w:customStyle="1" w:styleId="FootnoteTextChar">
    <w:name w:val="Footnote Text Char"/>
    <w:basedOn w:val="DefaultParagraphFont"/>
    <w:link w:val="FootnoteText"/>
    <w:uiPriority w:val="99"/>
    <w:rsid w:val="00F86C2F"/>
    <w:rPr>
      <w:rFonts w:eastAsiaTheme="minorHAnsi"/>
      <w:sz w:val="24"/>
      <w:szCs w:val="24"/>
      <w:lang w:val="en-US" w:eastAsia="en-US"/>
    </w:rPr>
  </w:style>
  <w:style w:type="character" w:styleId="FootnoteReference">
    <w:name w:val="footnote reference"/>
    <w:basedOn w:val="DefaultParagraphFont"/>
    <w:uiPriority w:val="99"/>
    <w:unhideWhenUsed/>
    <w:rsid w:val="00F86C2F"/>
    <w:rPr>
      <w:vertAlign w:val="superscript"/>
    </w:rPr>
  </w:style>
  <w:style w:type="paragraph" w:styleId="BodyText">
    <w:name w:val="Body Text"/>
    <w:basedOn w:val="Normal"/>
    <w:link w:val="BodyTextChar"/>
    <w:uiPriority w:val="99"/>
    <w:unhideWhenUsed/>
    <w:rsid w:val="00F86C2F"/>
    <w:pPr>
      <w:spacing w:before="120" w:after="120" w:line="240" w:lineRule="auto"/>
    </w:pPr>
    <w:rPr>
      <w:rFonts w:eastAsiaTheme="minorHAnsi"/>
      <w:szCs w:val="24"/>
      <w:lang w:eastAsia="en-US"/>
    </w:rPr>
  </w:style>
  <w:style w:type="character" w:customStyle="1" w:styleId="BodyTextChar">
    <w:name w:val="Body Text Char"/>
    <w:basedOn w:val="DefaultParagraphFont"/>
    <w:link w:val="BodyText"/>
    <w:uiPriority w:val="99"/>
    <w:rsid w:val="00F86C2F"/>
    <w:rPr>
      <w:rFonts w:eastAsiaTheme="minorHAnsi"/>
      <w:szCs w:val="24"/>
      <w:lang w:val="en-US" w:eastAsia="en-US"/>
    </w:rPr>
  </w:style>
  <w:style w:type="paragraph" w:styleId="Revision">
    <w:name w:val="Revision"/>
    <w:hidden/>
    <w:uiPriority w:val="99"/>
    <w:semiHidden/>
    <w:rsid w:val="00785DE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C06362187C43E78D23D96DE4226BDF"/>
        <w:category>
          <w:name w:val="General"/>
          <w:gallery w:val="placeholder"/>
        </w:category>
        <w:types>
          <w:type w:val="bbPlcHdr"/>
        </w:types>
        <w:behaviors>
          <w:behavior w:val="content"/>
        </w:behaviors>
        <w:guid w:val="{63C24BD5-FD58-4CA6-8CC0-DAE9CA58E968}"/>
      </w:docPartPr>
      <w:docPartBody>
        <w:p w:rsidR="00E11DD1" w:rsidRDefault="00BB1D8F" w:rsidP="00BB1D8F">
          <w:pPr>
            <w:pStyle w:val="19C06362187C43E78D23D96DE4226BDF1"/>
          </w:pPr>
          <w:r w:rsidRPr="00FB1726">
            <w:rPr>
              <w:rStyle w:val="PlaceholderText"/>
            </w:rPr>
            <w:t>[Title]</w:t>
          </w:r>
        </w:p>
      </w:docPartBody>
    </w:docPart>
    <w:docPart>
      <w:docPartPr>
        <w:name w:val="61FA97A7103F45759D0AACD17DD797D9"/>
        <w:category>
          <w:name w:val="General"/>
          <w:gallery w:val="placeholder"/>
        </w:category>
        <w:types>
          <w:type w:val="bbPlcHdr"/>
        </w:types>
        <w:behaviors>
          <w:behavior w:val="content"/>
        </w:behaviors>
        <w:guid w:val="{870BE380-174F-457D-87C4-C9C688E3BF88}"/>
      </w:docPartPr>
      <w:docPartBody>
        <w:p w:rsidR="00E11DD1" w:rsidRDefault="00BB1D8F" w:rsidP="00BB1D8F">
          <w:pPr>
            <w:pStyle w:val="61FA97A7103F45759D0AACD17DD797D91"/>
          </w:pPr>
          <w:r w:rsidRPr="00FB1726">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D8F"/>
    <w:rsid w:val="0018545F"/>
    <w:rsid w:val="00294346"/>
    <w:rsid w:val="003E5843"/>
    <w:rsid w:val="00494C4B"/>
    <w:rsid w:val="004F6FB3"/>
    <w:rsid w:val="00A2050F"/>
    <w:rsid w:val="00BB1D8F"/>
    <w:rsid w:val="00BF3E43"/>
    <w:rsid w:val="00C749E2"/>
    <w:rsid w:val="00D76AA8"/>
    <w:rsid w:val="00E11DD1"/>
    <w:rsid w:val="00FE4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D8F"/>
    <w:rPr>
      <w:color w:val="808080"/>
    </w:rPr>
  </w:style>
  <w:style w:type="paragraph" w:customStyle="1" w:styleId="19C06362187C43E78D23D96DE4226BDF1">
    <w:name w:val="19C06362187C43E78D23D96DE4226BDF1"/>
    <w:rsid w:val="00BB1D8F"/>
    <w:pPr>
      <w:pBdr>
        <w:bottom w:val="single" w:sz="4" w:space="1" w:color="auto"/>
      </w:pBdr>
      <w:spacing w:line="240" w:lineRule="auto"/>
      <w:contextualSpacing/>
      <w:jc w:val="both"/>
    </w:pPr>
    <w:rPr>
      <w:rFonts w:ascii="Cambria" w:eastAsia="Times New Roman" w:hAnsi="Cambria" w:cs="Times New Roman"/>
      <w:spacing w:val="5"/>
      <w:sz w:val="52"/>
      <w:szCs w:val="52"/>
    </w:rPr>
  </w:style>
  <w:style w:type="paragraph" w:customStyle="1" w:styleId="61FA97A7103F45759D0AACD17DD797D91">
    <w:name w:val="61FA97A7103F45759D0AACD17DD797D91"/>
    <w:rsid w:val="00BB1D8F"/>
    <w:pPr>
      <w:spacing w:after="600"/>
      <w:jc w:val="both"/>
    </w:pPr>
    <w:rPr>
      <w:rFonts w:ascii="Cambria" w:eastAsia="Times New Roman" w:hAnsi="Cambria" w:cs="Times New Roman"/>
      <w:i/>
      <w:iCs/>
      <w:spacing w:val="13"/>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</Value>
</WrappedLabelHistory>
</file>

<file path=customXml/item4.xml><?xml version="1.0" encoding="utf-8"?>
<sisl xmlns:xsi="http://www.w3.org/2001/XMLSchema-instance" xmlns:xsd="http://www.w3.org/2001/XMLSchema" xmlns="http://www.boldonjames.com/2008/01/sie/internal/label" sislVersion="0" policy="e56daa8a-7b27-48ac-85d4-db65acb580b6" origin="userSelected">
  <element uid="76cb6641-65c9-4928-b1aa-841d1b5bdb86" value=""/>
  <element uid="f82d335c-c31d-4ecb-a29c-77506445bc71" value=""/>
  <element uid="48cc4f68-d6d9-404f-b139-e517b54485bc" value=""/>
  <element uid="4d40581e-d1cf-422b-8268-c4579a1f499c" value="IAEG"/>
  <element uid="ec6abd3b-c0d6-4fa7-a60a-349d0f822e3b" value=""/>
  <element uid="46fe2329-c02b-4495-b624-12a499d069e2" value=""/>
  <element uid="8b2d8d36-50e9-4e35-b179-b787235cbfe0"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7C2F54-326F-4EAE-AA77-501B407F6973}">
  <ds:schemaRefs>
    <ds:schemaRef ds:uri="http://schemas.openxmlformats.org/officeDocument/2006/bibliography"/>
  </ds:schemaRefs>
</ds:datastoreItem>
</file>

<file path=customXml/itemProps3.xml><?xml version="1.0" encoding="utf-8"?>
<ds:datastoreItem xmlns:ds="http://schemas.openxmlformats.org/officeDocument/2006/customXml" ds:itemID="{C6F0769B-D23C-4EAD-983A-8229DCB4E040}">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33545D68-53A7-4E00-9002-5294A1E1BA4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3839</Words>
  <Characters>21887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Aerospace Industry Tool for Calculating Scope 3 Greenhouse Gas Emissions of Purchased Goods &amp; Services and Capital Goods: User Guide</vt:lpstr>
    </vt:vector>
  </TitlesOfParts>
  <Company>International Aerospace Environmental Group</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Aerospace Industry Tool for Calculating Scope 3 Greenhouse Gas Emissions of Purchased Goods &amp; Services and Capital Goods: User Guide</dc:title>
  <dc:creator>Lewis, Michele M                            Collins</dc:creator>
  <cp:keywords>|1:Non-Conf|5:NonExpCont|6:NonGov|2:Other|3:Manual|4:IAEG||22:No|</cp:keywords>
  <dc:description>supporting voluntary accounting and reporting of greenhouse gas (GHG) emissions associated with purchased goods and services and capital goods across the aerospace industry.</dc:description>
  <cp:lastModifiedBy>Payne, Matthew</cp:lastModifiedBy>
  <cp:revision>2</cp:revision>
  <dcterms:created xsi:type="dcterms:W3CDTF">2021-09-03T16:13:00Z</dcterms:created>
  <dcterms:modified xsi:type="dcterms:W3CDTF">2021-09-03T16:13:00Z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46a71d1b-13dc-4e10-9285-ae3c034ddc6e</vt:lpwstr>
  </property>
  <property fmtid="{D5CDD505-2E9C-101B-9397-08002B2CF9AE}" pid="3" name="bjSaver">
    <vt:lpwstr>0J72fySfgFeeIv8JY0Kr+8mvknp62Ag5</vt:lpwstr>
  </property>
  <property fmtid="{D5CDD505-2E9C-101B-9397-08002B2CF9AE}" pid="4" name="bjDocumentLabelXML">
    <vt:lpwstr>&lt;?xml version="1.0" encoding="us-ascii"?&gt;&lt;sisl xmlns:xsi="http://www.w3.org/2001/XMLSchema-instance" xmlns:xsd="http://www.w3.org/2001/XMLSchema" sislVersion="0" policy="e56daa8a-7b27-48ac-85d4-db65acb580b6" origin="userSelected" xmlns="http://www.boldonj</vt:lpwstr>
  </property>
  <property fmtid="{D5CDD505-2E9C-101B-9397-08002B2CF9AE}" pid="5" name="bjDocumentLabelXML-0">
    <vt:lpwstr>ames.com/2008/01/sie/internal/label"&gt;&lt;element uid="76cb6641-65c9-4928-b1aa-841d1b5bdb86" value="" /&gt;&lt;element uid="f82d335c-c31d-4ecb-a29c-77506445bc71" value="" /&gt;&lt;element uid="48cc4f68-d6d9-404f-b139-e517b54485bc" value="" /&gt;&lt;element uid="4d40581e-d1cf-4</vt:lpwstr>
  </property>
  <property fmtid="{D5CDD505-2E9C-101B-9397-08002B2CF9AE}" pid="6" name="bjDocumentLabelXML-1">
    <vt:lpwstr>22b-8268-c4579a1f499c" value="IAEG" /&gt;&lt;element uid="ec6abd3b-c0d6-4fa7-a60a-349d0f822e3b" value="" /&gt;&lt;element uid="46fe2329-c02b-4495-b624-12a499d069e2" value="" /&gt;&lt;element uid="8b2d8d36-50e9-4e35-b179-b787235cbfe0" value="" /&gt;&lt;/sisl&gt;</vt:lpwstr>
  </property>
  <property fmtid="{D5CDD505-2E9C-101B-9397-08002B2CF9AE}" pid="7" name="bjDocumentSecurityLabel">
    <vt:lpwstr>Non-Confidential - Other Parties Data - Not Subject to Export Control     </vt:lpwstr>
  </property>
  <property fmtid="{D5CDD505-2E9C-101B-9397-08002B2CF9AE}" pid="8" name="OtherOwnership">
    <vt:lpwstr>Manual;IAEG</vt:lpwstr>
  </property>
  <property fmtid="{D5CDD505-2E9C-101B-9397-08002B2CF9AE}" pid="9" name="Ownership">
    <vt:lpwstr>Other_parties_data</vt:lpwstr>
  </property>
  <property fmtid="{D5CDD505-2E9C-101B-9397-08002B2CF9AE}" pid="10" name="TCGovSecClass">
    <vt:lpwstr>No_Classification</vt:lpwstr>
  </property>
  <property fmtid="{D5CDD505-2E9C-101B-9397-08002B2CF9AE}" pid="11" name="GovSecClass">
    <vt:lpwstr>No_Classification</vt:lpwstr>
  </property>
  <property fmtid="{D5CDD505-2E9C-101B-9397-08002B2CF9AE}" pid="12" name="BusinessSensitivity">
    <vt:lpwstr>Non-Confidential</vt:lpwstr>
  </property>
  <property fmtid="{D5CDD505-2E9C-101B-9397-08002B2CF9AE}" pid="13" name="ExportControlled">
    <vt:lpwstr>Not_Subject_to_Export_Control</vt:lpwstr>
  </property>
  <property fmtid="{D5CDD505-2E9C-101B-9397-08002B2CF9AE}" pid="14" name="bjLabelHistoryID">
    <vt:lpwstr>{C6F0769B-D23C-4EAD-983A-8229DCB4E040}</vt:lpwstr>
  </property>
  <property fmtid="{D5CDD505-2E9C-101B-9397-08002B2CF9AE}" pid="15" name="TitusGUID">
    <vt:lpwstr>b90928c3-b0ad-4971-a15d-02ee22e34740</vt:lpwstr>
  </property>
  <property fmtid="{D5CDD505-2E9C-101B-9397-08002B2CF9AE}" pid="16" name="MSIP_Label_4447dd6a-a4a1-440b-a6a3-9124ef1ee017_Enabled">
    <vt:lpwstr>True</vt:lpwstr>
  </property>
  <property fmtid="{D5CDD505-2E9C-101B-9397-08002B2CF9AE}" pid="17" name="MSIP_Label_4447dd6a-a4a1-440b-a6a3-9124ef1ee017_SiteId">
    <vt:lpwstr>7a18110d-ef9b-4274-acef-e62ab0fe28ed</vt:lpwstr>
  </property>
  <property fmtid="{D5CDD505-2E9C-101B-9397-08002B2CF9AE}" pid="18" name="MSIP_Label_4447dd6a-a4a1-440b-a6a3-9124ef1ee017_Owner">
    <vt:lpwstr>10007717@adxuser.com</vt:lpwstr>
  </property>
  <property fmtid="{D5CDD505-2E9C-101B-9397-08002B2CF9AE}" pid="19" name="MSIP_Label_4447dd6a-a4a1-440b-a6a3-9124ef1ee017_SetDate">
    <vt:lpwstr>2021-08-26T12:08:21.6266431Z</vt:lpwstr>
  </property>
  <property fmtid="{D5CDD505-2E9C-101B-9397-08002B2CF9AE}" pid="20" name="MSIP_Label_4447dd6a-a4a1-440b-a6a3-9124ef1ee017_Name">
    <vt:lpwstr>NO TECH DATA</vt:lpwstr>
  </property>
  <property fmtid="{D5CDD505-2E9C-101B-9397-08002B2CF9AE}" pid="21" name="MSIP_Label_4447dd6a-a4a1-440b-a6a3-9124ef1ee017_Application">
    <vt:lpwstr>Microsoft Azure Information Protection</vt:lpwstr>
  </property>
  <property fmtid="{D5CDD505-2E9C-101B-9397-08002B2CF9AE}" pid="22" name="MSIP_Label_4447dd6a-a4a1-440b-a6a3-9124ef1ee017_ActionId">
    <vt:lpwstr>f28bb2d3-9b0a-406d-a1b7-d11bbaa1686f</vt:lpwstr>
  </property>
  <property fmtid="{D5CDD505-2E9C-101B-9397-08002B2CF9AE}" pid="23" name="MSIP_Label_4447dd6a-a4a1-440b-a6a3-9124ef1ee017_Extended_MSFT_Method">
    <vt:lpwstr>Manual</vt:lpwstr>
  </property>
  <property fmtid="{D5CDD505-2E9C-101B-9397-08002B2CF9AE}" pid="24" name="Sensitivity">
    <vt:lpwstr>NO TECH DATA</vt:lpwstr>
  </property>
</Properties>
</file>