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34295" w14:textId="7499C67A" w:rsidR="004E6F7D" w:rsidRDefault="00CA404C" w:rsidP="0048497A">
      <w:pPr>
        <w:jc w:val="center"/>
      </w:pPr>
      <w:r w:rsidRPr="00872A33">
        <w:rPr>
          <w:noProof/>
          <w:lang w:val="en-US" w:eastAsia="en-US"/>
        </w:rPr>
        <w:drawing>
          <wp:inline distT="0" distB="0" distL="0" distR="0" wp14:anchorId="78FF7538" wp14:editId="7B40D968">
            <wp:extent cx="4205289" cy="1316672"/>
            <wp:effectExtent l="0" t="0" r="5080" b="0"/>
            <wp:docPr id="5" name="Picture 4">
              <a:extLst xmlns:a="http://schemas.openxmlformats.org/drawingml/2006/main">
                <a:ext uri="{FF2B5EF4-FFF2-40B4-BE49-F238E27FC236}">
                  <a16:creationId xmlns:a16="http://schemas.microsoft.com/office/drawing/2014/main" id="{60C4BDFE-069E-201D-D2B7-55068B002C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0C4BDFE-069E-201D-D2B7-55068B002C1B}"/>
                        </a:ext>
                      </a:extLst>
                    </pic:cNvPr>
                    <pic:cNvPicPr>
                      <a:picLocks noChangeAspect="1"/>
                    </pic:cNvPicPr>
                  </pic:nvPicPr>
                  <pic:blipFill>
                    <a:blip r:embed="rId12"/>
                    <a:stretch>
                      <a:fillRect/>
                    </a:stretch>
                  </pic:blipFill>
                  <pic:spPr>
                    <a:xfrm>
                      <a:off x="0" y="0"/>
                      <a:ext cx="4261147" cy="1334161"/>
                    </a:xfrm>
                    <a:prstGeom prst="rect">
                      <a:avLst/>
                    </a:prstGeom>
                  </pic:spPr>
                </pic:pic>
              </a:graphicData>
            </a:graphic>
          </wp:inline>
        </w:drawing>
      </w:r>
    </w:p>
    <w:sdt>
      <w:sdtPr>
        <w:alias w:val="Title"/>
        <w:tag w:val=""/>
        <w:id w:val="603689685"/>
        <w:placeholder>
          <w:docPart w:val="19C06362187C43E78D23D96DE4226BDF"/>
        </w:placeholder>
        <w:dataBinding w:prefixMappings="xmlns:ns0='http://purl.org/dc/elements/1.1/' xmlns:ns1='http://schemas.openxmlformats.org/package/2006/metadata/core-properties' " w:xpath="/ns1:coreProperties[1]/ns0:title[1]" w:storeItemID="{6C3C8BC8-F283-45AE-878A-BAB7291924A1}"/>
        <w:text/>
      </w:sdtPr>
      <w:sdtContent>
        <w:p w14:paraId="19834296" w14:textId="0017F5E0" w:rsidR="004E6F7D" w:rsidRDefault="00C60C51" w:rsidP="009C7E14">
          <w:pPr>
            <w:pStyle w:val="Title"/>
            <w:ind w:right="-810"/>
          </w:pPr>
          <w:r w:rsidRPr="009D5BAC">
            <w:t>Release Note – IAEG® AD-</w:t>
          </w:r>
          <w:r>
            <w:t xml:space="preserve">SRT </w:t>
          </w:r>
          <w:r w:rsidR="0048497A">
            <w:t>2.0</w:t>
          </w:r>
        </w:p>
      </w:sdtContent>
    </w:sdt>
    <w:sdt>
      <w:sdtPr>
        <w:alias w:val="Publish Date"/>
        <w:tag w:val=""/>
        <w:id w:val="1560977478"/>
        <w:placeholder>
          <w:docPart w:val="61FA97A7103F45759D0AACD17DD797D9"/>
        </w:placeholder>
        <w:dataBinding w:prefixMappings="xmlns:ns0='http://schemas.microsoft.com/office/2006/coverPageProps' " w:xpath="/ns0:CoverPageProperties[1]/ns0:PublishDate[1]" w:storeItemID="{55AF091B-3C7A-41E3-B477-F2FDAA23CFDA}"/>
        <w:date w:fullDate="2023-12-11T00:00:00Z">
          <w:dateFormat w:val="dd MMMM yyyy"/>
          <w:lid w:val="en-GB"/>
          <w:storeMappedDataAs w:val="dateTime"/>
          <w:calendar w:val="gregorian"/>
        </w:date>
      </w:sdtPr>
      <w:sdtContent>
        <w:p w14:paraId="19834297" w14:textId="404216D5" w:rsidR="004E6F7D" w:rsidRDefault="0048497A" w:rsidP="003945F8">
          <w:pPr>
            <w:pStyle w:val="Subtitle"/>
            <w:spacing w:after="120"/>
          </w:pPr>
          <w:r>
            <w:t>11</w:t>
          </w:r>
          <w:r w:rsidR="00311C4F">
            <w:t xml:space="preserve"> </w:t>
          </w:r>
          <w:r>
            <w:t>December</w:t>
          </w:r>
          <w:r w:rsidR="00311C4F">
            <w:t xml:space="preserve"> 2023</w:t>
          </w:r>
        </w:p>
      </w:sdtContent>
    </w:sdt>
    <w:p w14:paraId="1983429C" w14:textId="03BCFDE1" w:rsidR="004E6F7D" w:rsidRDefault="00501979" w:rsidP="003945F8">
      <w:pPr>
        <w:spacing w:after="120"/>
      </w:pPr>
      <w:r w:rsidRPr="00FA199B">
        <w:rPr>
          <w:rStyle w:val="SubtleEmphasis"/>
        </w:rPr>
        <w:t>Versio</w:t>
      </w:r>
      <w:r w:rsidR="00401E35" w:rsidRPr="00FA199B">
        <w:rPr>
          <w:rStyle w:val="SubtleEmphasis"/>
        </w:rPr>
        <w:t xml:space="preserve">n </w:t>
      </w:r>
      <w:r w:rsidR="009D5BAC">
        <w:rPr>
          <w:rStyle w:val="Emphasis"/>
        </w:rPr>
        <w:t>1.0</w:t>
      </w:r>
    </w:p>
    <w:p w14:paraId="42F9236C" w14:textId="0595F65D" w:rsidR="00B556D0" w:rsidRDefault="00B556D0" w:rsidP="0048497A">
      <w:pPr>
        <w:pStyle w:val="Subtitle"/>
        <w:spacing w:after="120"/>
      </w:pPr>
      <w:r w:rsidRPr="00B556D0">
        <w:t xml:space="preserve"> </w:t>
      </w:r>
      <w:r>
        <w:t>Terms and Conditions of Use</w:t>
      </w:r>
    </w:p>
    <w:p w14:paraId="3C7B3F43" w14:textId="0E34D093" w:rsidR="009C7E14" w:rsidRPr="009C7E14" w:rsidRDefault="00B556D0" w:rsidP="009C7E14">
      <w:pPr>
        <w:spacing w:after="120"/>
      </w:pPr>
      <w:r>
        <w:t>The International Aerospace Environmental Group (IAEG) has developed the Aerospace and Defence Substance Reporting Tool (AD-SRT) to support materials and substances declarations for the Aerospace &amp; Defence (AD) industry and its global supply chain</w:t>
      </w:r>
      <w:r w:rsidR="005213E1">
        <w:t xml:space="preserve">. </w:t>
      </w:r>
      <w:r>
        <w:t xml:space="preserve">The AD-SRT supports the use of the data exchange standard </w:t>
      </w:r>
      <w:r w:rsidRPr="006C0D1C">
        <w:t xml:space="preserve">IPC-1754 </w:t>
      </w:r>
      <w:r w:rsidRPr="00612670">
        <w:rPr>
          <w:i/>
        </w:rPr>
        <w:t>Materials and Substances Declaration for the Aerospace and Defense, and Other Industries</w:t>
      </w:r>
      <w:r w:rsidR="005213E1" w:rsidRPr="006C0D1C">
        <w:t>.</w:t>
      </w:r>
      <w:r w:rsidR="005213E1">
        <w:t xml:space="preserve"> </w:t>
      </w:r>
      <w:r>
        <w:t>The AD-SRT is intended to be used with the Aerospace and Defence Declarable Substances List (AD-DSL). The use for substance declarations without using a version of the AD-DSL is inconsistent with the terms of use included below.</w:t>
      </w:r>
      <w:r w:rsidR="009C7E14">
        <w:t xml:space="preserve"> </w:t>
      </w:r>
      <w:r>
        <w:t>Any further distribution or use of the AD-SRT requires the written consent of IAEG in accordance with our copyright statement below.</w:t>
      </w:r>
      <w:r w:rsidR="009C7E14" w:rsidRPr="009C7E14">
        <w:rPr>
          <w:noProof/>
          <w:lang w:val="en-US" w:eastAsia="en-US"/>
        </w:rPr>
        <w:t xml:space="preserve"> </w:t>
      </w:r>
      <w:r w:rsidR="009C7E14">
        <w:rPr>
          <w:noProof/>
          <w:lang w:val="en-US" w:eastAsia="en-US"/>
        </w:rPr>
        <w:t xml:space="preserve"> </w:t>
      </w:r>
    </w:p>
    <w:p w14:paraId="1A3EB42A" w14:textId="77777777" w:rsidR="004E6F7D" w:rsidRDefault="009C7E14" w:rsidP="009C7E14">
      <w:pPr>
        <w:jc w:val="left"/>
      </w:pPr>
      <w:r>
        <w:rPr>
          <w:noProof/>
          <w:lang w:val="en-US" w:eastAsia="en-US"/>
        </w:rPr>
        <mc:AlternateContent>
          <mc:Choice Requires="wps">
            <w:drawing>
              <wp:inline distT="0" distB="0" distL="0" distR="0" wp14:anchorId="662970DE" wp14:editId="4C855939">
                <wp:extent cx="6105525" cy="2902645"/>
                <wp:effectExtent l="0" t="0" r="28575" b="158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2902645"/>
                        </a:xfrm>
                        <a:prstGeom prst="rect">
                          <a:avLst/>
                        </a:prstGeom>
                        <a:noFill/>
                        <a:ln w="9525">
                          <a:solidFill>
                            <a:schemeClr val="accent5">
                              <a:lumMod val="20000"/>
                              <a:lumOff val="80000"/>
                            </a:schemeClr>
                          </a:solidFill>
                          <a:miter lim="800000"/>
                          <a:headEnd/>
                          <a:tailEnd/>
                        </a:ln>
                      </wps:spPr>
                      <wps:txbx>
                        <w:txbxContent>
                          <w:p w14:paraId="601F766B" w14:textId="77777777" w:rsidR="009C7E14" w:rsidRPr="003945F8" w:rsidRDefault="009C7E14" w:rsidP="009C7E14">
                            <w:pPr>
                              <w:spacing w:after="60"/>
                              <w:ind w:left="-90"/>
                              <w:jc w:val="center"/>
                              <w:rPr>
                                <w:sz w:val="20"/>
                                <w:szCs w:val="20"/>
                              </w:rPr>
                            </w:pPr>
                            <w:r w:rsidRPr="003945F8">
                              <w:rPr>
                                <w:b/>
                                <w:bCs/>
                                <w:sz w:val="20"/>
                                <w:szCs w:val="20"/>
                              </w:rPr>
                              <w:t>© 2023 International Aerospace Environmental Group®.  All rights reserved.</w:t>
                            </w:r>
                          </w:p>
                          <w:p w14:paraId="320EDEE8" w14:textId="77777777" w:rsidR="009C7E14" w:rsidRPr="003945F8" w:rsidRDefault="009C7E14" w:rsidP="009C7E14">
                            <w:pPr>
                              <w:spacing w:after="0"/>
                              <w:ind w:left="288"/>
                              <w:jc w:val="left"/>
                              <w:rPr>
                                <w:sz w:val="20"/>
                                <w:szCs w:val="20"/>
                              </w:rPr>
                            </w:pPr>
                            <w:r w:rsidRPr="003945F8">
                              <w:rPr>
                                <w:caps/>
                                <w:sz w:val="20"/>
                                <w:szCs w:val="20"/>
                              </w:rPr>
                              <w:t>The International Aerospace Environmental Group</w:t>
                            </w:r>
                            <w:r w:rsidRPr="003945F8">
                              <w:rPr>
                                <w:sz w:val="20"/>
                                <w:szCs w:val="20"/>
                              </w:rPr>
                              <w:t xml:space="preserve">® ("IAEG") </w:t>
                            </w:r>
                            <w:r w:rsidRPr="003945F8">
                              <w:rPr>
                                <w:caps/>
                                <w:sz w:val="20"/>
                                <w:szCs w:val="20"/>
                              </w:rPr>
                              <w:t>is the owner of this material</w:t>
                            </w:r>
                            <w:r w:rsidRPr="003945F8">
                              <w:rPr>
                                <w:sz w:val="20"/>
                                <w:szCs w:val="20"/>
                              </w:rPr>
                              <w:t xml:space="preserve">. THIS MATERIAL IS PROVIDED BY IAEG FOR INFORMATIONAL PURPOSES ONLY.  ANY INACCURACY OR OMISSION IS NOT THE RESPONSIBILITY OF IAEG.  DETERMINATION OF WHETHER AND/OR HOW TO USE ALL OR ANY PORTION OF THIS MATERIAL IS TO BE MADE IN YOUR SOLE AND ABSOLUTE DISCRETION.  PRIOR TO USING THIS MATERIAL OR ITS CONTENTS, YOU SHOULD REVIEW IT WITH YOUR OWN LEGAL COUNSEL.  NO PART OF THIS MATERIAL CONSTITUTES LEGAL ADVICE.  USE OF THIS MATERIAL IS VOLUNTARY.  IAEG DOES NOT MAKE ANY REPRESENTATIONS OR WARRANTIES WITH RESPECT TO THIS MATERIAL OR ITS CONTENTS. IAEG HEREBY DISCLAIMS ALL WARRANTIES OF ANY NATURE, EXPRESS, IMPLIED OR OTHERWISE, OR ARISING FROM TRADE OR CUSTOM, INCLUDING, WITHOUT LIMITATION, ANY IMPLIED WARRANTIES OF MERCHANTABILITY, NONINFRINGEMENT, QUALITY, TITLE, FITNESS FOR A PARTICULAR PURPOSE, COMPLETENESS OR ACCURACY. TO THE FULLEST EXTENT PERMITTED BY APPLICABLE LAWS, IAEG SHALL NOT BE LIABLE FOR ANY LOSSES, EXPENSES OR DAMAGES OF ANY NATURE, INCLUDING, WITHOUT LIMITATION, SPECIAL, INCIDENTAL, PUNITIVE, DIRECT, INDIRECT OR CONSEQUENTIAL DAMAGES OR LOST INCOME OR PROFITS, RESULTING FROM OR ARISING OUT OF A COMPANY’S OR INDIVIDUAL’S USE OF THIS MATERIAL, WHETHER ARISING IN TORT, CONTRACT, STATUTE, OR OTHERWISE, EVEN IF ADVISED OF THE POSSIBILITY OF SUCH DAMAGES. IAEG® </w:t>
                            </w:r>
                            <w:r w:rsidRPr="003945F8">
                              <w:rPr>
                                <w:caps/>
                                <w:sz w:val="20"/>
                                <w:szCs w:val="20"/>
                              </w:rPr>
                              <w:t>reserves the right to add to, change or delete its contents or any part thereof without notice.</w:t>
                            </w:r>
                          </w:p>
                          <w:p w14:paraId="7F8A43AB" w14:textId="77777777" w:rsidR="009C7E14" w:rsidRPr="003945F8" w:rsidRDefault="009C7E14" w:rsidP="009C7E14">
                            <w:pPr>
                              <w:spacing w:after="60"/>
                              <w:ind w:left="288"/>
                              <w:jc w:val="left"/>
                              <w:rPr>
                                <w:sz w:val="20"/>
                                <w:szCs w:val="20"/>
                              </w:rPr>
                            </w:pPr>
                            <w:r w:rsidRPr="003945F8">
                              <w:rPr>
                                <w:sz w:val="20"/>
                                <w:szCs w:val="20"/>
                              </w:rPr>
                              <w:t>BY DOWNLOADING, COPYING OR OTHERWISE USING THE LICENSED MATERIALS, YOU ACKNOWLEDGE THAT YOU HAVE READ AND UNDERSTAND THIS AGREEMENT, AND ARE BOUND BY ITS TERMS.  IF YOU CANNOT OR DO NOT AGREE TO BE BOUND BY THIS AGREEMENT, YOU AGREE TO NOT USE THE LICENSED MATERIALS IN ANY FORM, FOR ANY PURPOSE.</w:t>
                            </w:r>
                          </w:p>
                        </w:txbxContent>
                      </wps:txbx>
                      <wps:bodyPr rot="0" vert="horz" wrap="square" lIns="91440" tIns="45720" rIns="91440" bIns="45720" anchor="t" anchorCtr="0">
                        <a:spAutoFit/>
                      </wps:bodyPr>
                    </wps:wsp>
                  </a:graphicData>
                </a:graphic>
              </wp:inline>
            </w:drawing>
          </mc:Choice>
          <mc:Fallback>
            <w:pict>
              <v:shapetype w14:anchorId="662970DE" id="_x0000_t202" coordsize="21600,21600" o:spt="202" path="m,l,21600r21600,l21600,xe">
                <v:stroke joinstyle="miter"/>
                <v:path gradientshapeok="t" o:connecttype="rect"/>
              </v:shapetype>
              <v:shape id="Text Box 2" o:spid="_x0000_s1026" type="#_x0000_t202" style="width:480.75pt;height:2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" filled="f" strokecolor="#daeef3 [664]">
                <v:textbox style="mso-fit-shape-to-text:t">
                  <w:txbxContent>
                    <w:p w14:paraId="601F766B" w14:textId="77777777" w:rsidR="009C7E14" w:rsidRPr="003945F8" w:rsidRDefault="009C7E14" w:rsidP="009C7E14">
                      <w:pPr>
                        <w:spacing w:after="60"/>
                        <w:ind w:left="-90"/>
                        <w:jc w:val="center"/>
                        <w:rPr>
                          <w:sz w:val="20"/>
                          <w:szCs w:val="20"/>
                        </w:rPr>
                      </w:pPr>
                      <w:r w:rsidRPr="003945F8">
                        <w:rPr>
                          <w:b/>
                          <w:bCs/>
                          <w:sz w:val="20"/>
                          <w:szCs w:val="20"/>
                        </w:rPr>
                        <w:t>© 2023 International Aerospace Environmental Group®.  All rights reserved.</w:t>
                      </w:r>
                    </w:p>
                    <w:p w14:paraId="320EDEE8" w14:textId="77777777" w:rsidR="009C7E14" w:rsidRPr="003945F8" w:rsidRDefault="009C7E14" w:rsidP="009C7E14">
                      <w:pPr>
                        <w:spacing w:after="0"/>
                        <w:ind w:left="288"/>
                        <w:jc w:val="left"/>
                        <w:rPr>
                          <w:sz w:val="20"/>
                          <w:szCs w:val="20"/>
                        </w:rPr>
                      </w:pPr>
                      <w:r w:rsidRPr="003945F8">
                        <w:rPr>
                          <w:caps/>
                          <w:sz w:val="20"/>
                          <w:szCs w:val="20"/>
                        </w:rPr>
                        <w:t>The International Aerospace Environmental Group</w:t>
                      </w:r>
                      <w:r w:rsidRPr="003945F8">
                        <w:rPr>
                          <w:sz w:val="20"/>
                          <w:szCs w:val="20"/>
                        </w:rPr>
                        <w:t xml:space="preserve">® ("IAEG") </w:t>
                      </w:r>
                      <w:r w:rsidRPr="003945F8">
                        <w:rPr>
                          <w:caps/>
                          <w:sz w:val="20"/>
                          <w:szCs w:val="20"/>
                        </w:rPr>
                        <w:t>is the owner of this material</w:t>
                      </w:r>
                      <w:r w:rsidRPr="003945F8">
                        <w:rPr>
                          <w:sz w:val="20"/>
                          <w:szCs w:val="20"/>
                        </w:rPr>
                        <w:t xml:space="preserve">. THIS MATERIAL IS PROVIDED BY IAEG FOR INFORMATIONAL PURPOSES ONLY.  ANY INACCURACY OR OMISSION IS NOT THE RESPONSIBILITY OF IAEG.  DETERMINATION OF WHETHER AND/OR HOW TO USE ALL OR ANY PORTION OF THIS MATERIAL IS TO BE MADE IN YOUR SOLE AND ABSOLUTE DISCRETION.  PRIOR TO USING THIS MATERIAL OR ITS CONTENTS, YOU SHOULD REVIEW IT WITH YOUR OWN LEGAL COUNSEL.  NO PART OF THIS MATERIAL CONSTITUTES LEGAL ADVICE.  USE OF THIS MATERIAL IS VOLUNTARY.  IAEG DOES NOT MAKE ANY REPRESENTATIONS OR WARRANTIES WITH RESPECT TO THIS MATERIAL OR ITS CONTENTS. IAEG HEREBY DISCLAIMS ALL WARRANTIES OF ANY NATURE, EXPRESS, IMPLIED OR OTHERWISE, OR ARISING FROM TRADE OR CUSTOM, INCLUDING, WITHOUT LIMITATION, ANY IMPLIED WARRANTIES OF MERCHANTABILITY, NONINFRINGEMENT, QUALITY, TITLE, FITNESS FOR A PARTICULAR PURPOSE, COMPLETENESS OR ACCURACY. TO THE FULLEST EXTENT PERMITTED BY APPLICABLE LAWS, IAEG SHALL NOT BE LIABLE FOR ANY LOSSES, EXPENSES OR DAMAGES OF ANY NATURE, INCLUDING, WITHOUT LIMITATION, SPECIAL, INCIDENTAL, PUNITIVE, DIRECT, INDIRECT OR CONSEQUENTIAL DAMAGES OR LOST INCOME OR PROFITS, RESULTING FROM OR ARISING OUT OF A COMPANY’S OR INDIVIDUAL’S USE OF THIS MATERIAL, WHETHER ARISING IN TORT, CONTRACT, STATUTE, OR OTHERWISE, EVEN IF ADVISED OF THE POSSIBILITY OF SUCH DAMAGES. IAEG® </w:t>
                      </w:r>
                      <w:r w:rsidRPr="003945F8">
                        <w:rPr>
                          <w:caps/>
                          <w:sz w:val="20"/>
                          <w:szCs w:val="20"/>
                        </w:rPr>
                        <w:t>reserves the right to add to, change or delete its contents or any part thereof without notice.</w:t>
                      </w:r>
                    </w:p>
                    <w:p w14:paraId="7F8A43AB" w14:textId="77777777" w:rsidR="009C7E14" w:rsidRPr="003945F8" w:rsidRDefault="009C7E14" w:rsidP="009C7E14">
                      <w:pPr>
                        <w:spacing w:after="60"/>
                        <w:ind w:left="288"/>
                        <w:jc w:val="left"/>
                        <w:rPr>
                          <w:sz w:val="20"/>
                          <w:szCs w:val="20"/>
                        </w:rPr>
                      </w:pPr>
                      <w:r w:rsidRPr="003945F8">
                        <w:rPr>
                          <w:sz w:val="20"/>
                          <w:szCs w:val="20"/>
                        </w:rPr>
                        <w:t>BY DOWNLOADING, COPYING OR OTHERWISE USING THE LICENSED MATERIALS, YOU ACKNOWLEDGE THAT YOU HAVE READ AND UNDERSTAND THIS AGREEMENT, AND ARE BOUND BY ITS TERMS.  IF YOU CANNOT OR DO NOT AGREE TO BE BOUND BY THIS AGREEMENT, YOU AGREE TO NOT USE THE LICENSED MATERIALS IN ANY FORM, FOR ANY PURPOSE.</w:t>
                      </w:r>
                    </w:p>
                  </w:txbxContent>
                </v:textbox>
                <w10:anchorlock/>
              </v:shape>
            </w:pict>
          </mc:Fallback>
        </mc:AlternateContent>
      </w:r>
    </w:p>
    <w:p w14:paraId="50896A0C" w14:textId="77777777" w:rsidR="009C7E14" w:rsidRDefault="009C7E14" w:rsidP="009C7E14">
      <w:pPr>
        <w:jc w:val="left"/>
      </w:pPr>
    </w:p>
    <w:p w14:paraId="1983429E" w14:textId="34783CF9" w:rsidR="00FF68A5" w:rsidRPr="009C7E14" w:rsidRDefault="00FF68A5" w:rsidP="009C7E14">
      <w:pPr>
        <w:jc w:val="left"/>
        <w:sectPr w:rsidR="00FF68A5" w:rsidRPr="009C7E14" w:rsidSect="00FF68A5">
          <w:headerReference w:type="default" r:id="rId13"/>
          <w:footerReference w:type="default" r:id="rId14"/>
          <w:pgSz w:w="11906" w:h="16838"/>
          <w:pgMar w:top="728" w:right="2906" w:bottom="1440" w:left="1440" w:header="450" w:footer="363" w:gutter="0"/>
          <w:cols w:space="708"/>
          <w:titlePg/>
          <w:docGrid w:linePitch="360"/>
        </w:sectPr>
      </w:pPr>
    </w:p>
    <w:p w14:paraId="4594684E" w14:textId="77777777" w:rsidR="00B556D0" w:rsidRDefault="00B556D0" w:rsidP="00B556D0">
      <w:pPr>
        <w:pStyle w:val="Subtitle"/>
      </w:pPr>
      <w:bookmarkStart w:id="0" w:name="_Toc131521103"/>
      <w:r>
        <w:lastRenderedPageBreak/>
        <w:t>AD-SRT and IPC-1754 Standard</w:t>
      </w:r>
    </w:p>
    <w:p w14:paraId="6972529F" w14:textId="1F34D087" w:rsidR="00B556D0" w:rsidRDefault="00B556D0" w:rsidP="00B556D0">
      <w:r>
        <w:t xml:space="preserve">The AD-SRT is </w:t>
      </w:r>
      <w:r w:rsidRPr="006C0D1C">
        <w:t xml:space="preserve">compatible </w:t>
      </w:r>
      <w:r>
        <w:t xml:space="preserve">with the IPC-1754 data exchange standard and supports materials and substances reporting (“declaration”) within the </w:t>
      </w:r>
      <w:r w:rsidRPr="00DC1C63">
        <w:t>AD</w:t>
      </w:r>
      <w:r>
        <w:t xml:space="preserve"> industry and its supply chain</w:t>
      </w:r>
      <w:r w:rsidR="005213E1">
        <w:t xml:space="preserve">. </w:t>
      </w:r>
    </w:p>
    <w:p w14:paraId="61D8993E" w14:textId="07825548" w:rsidR="00B556D0" w:rsidRPr="006C0D1C" w:rsidRDefault="00B556D0" w:rsidP="00B556D0">
      <w:pPr>
        <w:rPr>
          <w:color w:val="0D0D0D" w:themeColor="text1" w:themeTint="F2"/>
        </w:rPr>
      </w:pPr>
      <w:r>
        <w:t xml:space="preserve">The AD-SRT is </w:t>
      </w:r>
      <w:r>
        <w:rPr>
          <w:color w:val="0D0D0D" w:themeColor="text1" w:themeTint="F2"/>
        </w:rPr>
        <w:t xml:space="preserve">a formatted </w:t>
      </w:r>
      <w:r w:rsidRPr="006C0D1C">
        <w:rPr>
          <w:color w:val="0D0D0D" w:themeColor="text1" w:themeTint="F2"/>
        </w:rPr>
        <w:t>Microsoft Excel spreadsheet with embedded macros</w:t>
      </w:r>
      <w:r>
        <w:rPr>
          <w:color w:val="0D0D0D" w:themeColor="text1" w:themeTint="F2"/>
        </w:rPr>
        <w:t xml:space="preserve"> that</w:t>
      </w:r>
      <w:r w:rsidRPr="006C0D1C">
        <w:rPr>
          <w:color w:val="0D0D0D" w:themeColor="text1" w:themeTint="F2"/>
        </w:rPr>
        <w:t xml:space="preserve"> automate</w:t>
      </w:r>
      <w:r>
        <w:rPr>
          <w:color w:val="0D0D0D" w:themeColor="text1" w:themeTint="F2"/>
        </w:rPr>
        <w:t>s</w:t>
      </w:r>
      <w:r w:rsidRPr="006C0D1C">
        <w:rPr>
          <w:color w:val="0D0D0D" w:themeColor="text1" w:themeTint="F2"/>
        </w:rPr>
        <w:t xml:space="preserve"> </w:t>
      </w:r>
      <w:r>
        <w:rPr>
          <w:color w:val="0D0D0D" w:themeColor="text1" w:themeTint="F2"/>
        </w:rPr>
        <w:t xml:space="preserve">data </w:t>
      </w:r>
      <w:r w:rsidRPr="006C0D1C">
        <w:rPr>
          <w:color w:val="0D0D0D" w:themeColor="text1" w:themeTint="F2"/>
        </w:rPr>
        <w:t>field population</w:t>
      </w:r>
      <w:r>
        <w:rPr>
          <w:color w:val="0D0D0D" w:themeColor="text1" w:themeTint="F2"/>
        </w:rPr>
        <w:t xml:space="preserve"> and</w:t>
      </w:r>
      <w:r w:rsidRPr="006C0D1C">
        <w:rPr>
          <w:color w:val="0D0D0D" w:themeColor="text1" w:themeTint="F2"/>
        </w:rPr>
        <w:t xml:space="preserve"> conduct</w:t>
      </w:r>
      <w:r>
        <w:rPr>
          <w:color w:val="0D0D0D" w:themeColor="text1" w:themeTint="F2"/>
        </w:rPr>
        <w:t>s</w:t>
      </w:r>
      <w:r w:rsidRPr="006C0D1C">
        <w:rPr>
          <w:color w:val="0D0D0D" w:themeColor="text1" w:themeTint="F2"/>
        </w:rPr>
        <w:t xml:space="preserve"> simple data field check</w:t>
      </w:r>
      <w:r>
        <w:rPr>
          <w:color w:val="0D0D0D" w:themeColor="text1" w:themeTint="F2"/>
        </w:rPr>
        <w:t>s</w:t>
      </w:r>
      <w:r w:rsidR="005213E1" w:rsidRPr="006C0D1C">
        <w:rPr>
          <w:color w:val="0D0D0D" w:themeColor="text1" w:themeTint="F2"/>
        </w:rPr>
        <w:t>.</w:t>
      </w:r>
      <w:r w:rsidR="005213E1">
        <w:rPr>
          <w:color w:val="0D0D0D" w:themeColor="text1" w:themeTint="F2"/>
        </w:rPr>
        <w:t xml:space="preserve"> </w:t>
      </w:r>
      <w:r>
        <w:rPr>
          <w:color w:val="0D0D0D" w:themeColor="text1" w:themeTint="F2"/>
        </w:rPr>
        <w:t>The AD-SRT is also provided in a “macro-free” form for use where the use of macros is not acceptable (e.g., due to security-related restrictions).</w:t>
      </w:r>
    </w:p>
    <w:p w14:paraId="5C75357B" w14:textId="750CBCEE" w:rsidR="00B556D0" w:rsidRDefault="00B556D0" w:rsidP="00B556D0">
      <w:r>
        <w:rPr>
          <w:color w:val="0D0D0D" w:themeColor="text1" w:themeTint="F2"/>
        </w:rPr>
        <w:t>The AD-SRT supports but does not include the functionality to c</w:t>
      </w:r>
      <w:r w:rsidRPr="006C0D1C">
        <w:rPr>
          <w:color w:val="0D0D0D" w:themeColor="text1" w:themeTint="F2"/>
        </w:rPr>
        <w:t xml:space="preserve">onvert data from the AD-SRT Excel spreadsheet to an </w:t>
      </w:r>
      <w:r>
        <w:rPr>
          <w:color w:val="0D0D0D" w:themeColor="text1" w:themeTint="F2"/>
        </w:rPr>
        <w:t>Extensible Markup Language (</w:t>
      </w:r>
      <w:r w:rsidRPr="006C0D1C">
        <w:rPr>
          <w:color w:val="0D0D0D" w:themeColor="text1" w:themeTint="F2"/>
        </w:rPr>
        <w:t>XML</w:t>
      </w:r>
      <w:r>
        <w:rPr>
          <w:color w:val="0D0D0D" w:themeColor="text1" w:themeTint="F2"/>
        </w:rPr>
        <w:t>)</w:t>
      </w:r>
      <w:r w:rsidRPr="006C0D1C">
        <w:rPr>
          <w:color w:val="0D0D0D" w:themeColor="text1" w:themeTint="F2"/>
        </w:rPr>
        <w:t xml:space="preserve"> file compliant </w:t>
      </w:r>
      <w:r>
        <w:rPr>
          <w:color w:val="0D0D0D" w:themeColor="text1" w:themeTint="F2"/>
        </w:rPr>
        <w:t>with the</w:t>
      </w:r>
      <w:r w:rsidRPr="006C0D1C">
        <w:rPr>
          <w:color w:val="0D0D0D" w:themeColor="text1" w:themeTint="F2"/>
        </w:rPr>
        <w:t xml:space="preserve"> IPC-1754 standard</w:t>
      </w:r>
      <w:r w:rsidR="005213E1">
        <w:rPr>
          <w:color w:val="0D0D0D" w:themeColor="text1" w:themeTint="F2"/>
        </w:rPr>
        <w:t xml:space="preserve">. </w:t>
      </w:r>
      <w:r w:rsidRPr="006C0D1C">
        <w:t>Please refer to software providers</w:t>
      </w:r>
      <w:r>
        <w:t xml:space="preserve"> that may support such conversion (i.e., AD-SRT to IPC-1754</w:t>
      </w:r>
      <w:r w:rsidRPr="009E35F4">
        <w:t xml:space="preserve"> </w:t>
      </w:r>
      <w:r>
        <w:t>XML),</w:t>
      </w:r>
      <w:r w:rsidRPr="009E35F4">
        <w:t xml:space="preserve"> </w:t>
      </w:r>
      <w:r>
        <w:t xml:space="preserve">such as those listed on the IPC-1754 Solution Provider website: </w:t>
      </w:r>
      <w:hyperlink r:id="rId15" w:history="1">
        <w:r w:rsidR="003945F8" w:rsidRPr="00A11401">
          <w:rPr>
            <w:rStyle w:val="Hyperlink"/>
          </w:rPr>
          <w:t>https://www.ipc.org/ipc-1754-verified-solution-providers</w:t>
        </w:r>
      </w:hyperlink>
      <w:r w:rsidR="003945F8">
        <w:t xml:space="preserve">. </w:t>
      </w:r>
    </w:p>
    <w:p w14:paraId="1983429F" w14:textId="140D474E" w:rsidR="004E6F7D" w:rsidRDefault="004E6F7D" w:rsidP="0095348C">
      <w:pPr>
        <w:pStyle w:val="Heading1"/>
        <w:numPr>
          <w:ilvl w:val="0"/>
          <w:numId w:val="0"/>
        </w:numPr>
        <w:spacing w:before="240"/>
        <w:ind w:left="432" w:hanging="432"/>
      </w:pPr>
      <w:r>
        <w:t>Version History</w:t>
      </w:r>
      <w:bookmarkEnd w:id="0"/>
    </w:p>
    <w:tbl>
      <w:tblPr>
        <w:tblStyle w:val="TableGrid"/>
        <w:tblW w:w="0" w:type="auto"/>
        <w:tblLook w:val="04A0" w:firstRow="1" w:lastRow="0" w:firstColumn="1" w:lastColumn="0" w:noHBand="0" w:noVBand="1"/>
      </w:tblPr>
      <w:tblGrid>
        <w:gridCol w:w="1345"/>
        <w:gridCol w:w="720"/>
        <w:gridCol w:w="1620"/>
        <w:gridCol w:w="5331"/>
      </w:tblGrid>
      <w:tr w:rsidR="004E6F7D" w:rsidRPr="004E6F7D" w14:paraId="198342A4" w14:textId="77777777" w:rsidTr="00311C4F">
        <w:tc>
          <w:tcPr>
            <w:tcW w:w="1345" w:type="dxa"/>
          </w:tcPr>
          <w:p w14:paraId="198342A0" w14:textId="77777777" w:rsidR="004E6F7D" w:rsidRPr="004E6F7D" w:rsidRDefault="004E6F7D" w:rsidP="0054372D">
            <w:pPr>
              <w:rPr>
                <w:b/>
              </w:rPr>
            </w:pPr>
            <w:r w:rsidRPr="004E6F7D">
              <w:rPr>
                <w:b/>
              </w:rPr>
              <w:t>Date</w:t>
            </w:r>
          </w:p>
        </w:tc>
        <w:tc>
          <w:tcPr>
            <w:tcW w:w="720" w:type="dxa"/>
          </w:tcPr>
          <w:p w14:paraId="198342A1" w14:textId="77777777" w:rsidR="004E6F7D" w:rsidRPr="004E6F7D" w:rsidRDefault="001E27F6" w:rsidP="001E27F6">
            <w:pPr>
              <w:rPr>
                <w:b/>
              </w:rPr>
            </w:pPr>
            <w:r>
              <w:rPr>
                <w:b/>
              </w:rPr>
              <w:t>v</w:t>
            </w:r>
            <w:r w:rsidR="00401E35">
              <w:rPr>
                <w:b/>
              </w:rPr>
              <w:t>#</w:t>
            </w:r>
          </w:p>
        </w:tc>
        <w:tc>
          <w:tcPr>
            <w:tcW w:w="1620" w:type="dxa"/>
          </w:tcPr>
          <w:p w14:paraId="198342A2" w14:textId="77777777" w:rsidR="004E6F7D" w:rsidRPr="004E6F7D" w:rsidRDefault="004E6F7D" w:rsidP="0054372D">
            <w:pPr>
              <w:rPr>
                <w:b/>
              </w:rPr>
            </w:pPr>
            <w:r w:rsidRPr="004E6F7D">
              <w:rPr>
                <w:b/>
              </w:rPr>
              <w:t>Modified By</w:t>
            </w:r>
          </w:p>
        </w:tc>
        <w:tc>
          <w:tcPr>
            <w:tcW w:w="5331" w:type="dxa"/>
          </w:tcPr>
          <w:p w14:paraId="198342A3" w14:textId="77777777" w:rsidR="004E6F7D" w:rsidRPr="004E6F7D" w:rsidRDefault="004E6F7D" w:rsidP="0054372D">
            <w:pPr>
              <w:rPr>
                <w:b/>
              </w:rPr>
            </w:pPr>
            <w:r w:rsidRPr="004E6F7D">
              <w:rPr>
                <w:b/>
              </w:rPr>
              <w:t>Section, Page(s) and Text Revised</w:t>
            </w:r>
          </w:p>
        </w:tc>
      </w:tr>
      <w:tr w:rsidR="004E6F7D" w:rsidRPr="004E6F7D" w14:paraId="198342A9" w14:textId="77777777" w:rsidTr="00311C4F">
        <w:tc>
          <w:tcPr>
            <w:tcW w:w="1345" w:type="dxa"/>
          </w:tcPr>
          <w:p w14:paraId="198342A5" w14:textId="188CB5F0" w:rsidR="004E6F7D" w:rsidRPr="004E6F7D" w:rsidRDefault="00F50F24" w:rsidP="0054372D">
            <w:r>
              <w:t>2023-0</w:t>
            </w:r>
            <w:r w:rsidR="00B556D0">
              <w:t>7</w:t>
            </w:r>
            <w:r>
              <w:t>-</w:t>
            </w:r>
            <w:r w:rsidR="00B556D0">
              <w:t>14</w:t>
            </w:r>
          </w:p>
        </w:tc>
        <w:tc>
          <w:tcPr>
            <w:tcW w:w="720" w:type="dxa"/>
          </w:tcPr>
          <w:p w14:paraId="198342A6" w14:textId="4C5A1692" w:rsidR="004E6F7D" w:rsidRPr="004E6F7D" w:rsidRDefault="009D5BAC" w:rsidP="0054372D">
            <w:r>
              <w:t>1.0</w:t>
            </w:r>
          </w:p>
        </w:tc>
        <w:tc>
          <w:tcPr>
            <w:tcW w:w="1620" w:type="dxa"/>
          </w:tcPr>
          <w:p w14:paraId="198342A7" w14:textId="692C843D" w:rsidR="004E6F7D" w:rsidRPr="004E6F7D" w:rsidRDefault="00B556D0" w:rsidP="0054372D">
            <w:r>
              <w:t>Mussie Pietros</w:t>
            </w:r>
          </w:p>
        </w:tc>
        <w:tc>
          <w:tcPr>
            <w:tcW w:w="5331" w:type="dxa"/>
          </w:tcPr>
          <w:p w14:paraId="198342A8" w14:textId="455D439E" w:rsidR="004E6F7D" w:rsidRPr="004E6F7D" w:rsidRDefault="009D5BAC" w:rsidP="0054372D">
            <w:r>
              <w:t>Initial version</w:t>
            </w:r>
          </w:p>
        </w:tc>
      </w:tr>
    </w:tbl>
    <w:p w14:paraId="207F1D09" w14:textId="77777777" w:rsidR="00B556D0" w:rsidRDefault="00B556D0" w:rsidP="00B556D0">
      <w:pPr>
        <w:pStyle w:val="Subtitle"/>
        <w:spacing w:before="120"/>
      </w:pPr>
      <w:r>
        <w:t>Release Note Content</w:t>
      </w:r>
    </w:p>
    <w:p w14:paraId="47899C0A" w14:textId="32D2D681" w:rsidR="00B556D0" w:rsidRPr="00233A76" w:rsidRDefault="00B556D0" w:rsidP="00E02ABD">
      <w:pPr>
        <w:pStyle w:val="TOC1"/>
        <w:rPr>
          <w:noProof/>
        </w:rPr>
      </w:pPr>
      <w:r w:rsidRPr="00233A76">
        <w:rPr>
          <w:b/>
          <w:bCs/>
        </w:rPr>
        <w:fldChar w:fldCharType="begin"/>
      </w:r>
      <w:r w:rsidRPr="00233A76">
        <w:rPr>
          <w:bCs/>
        </w:rPr>
        <w:instrText xml:space="preserve"> TOC \o "1-2" \h \z \u </w:instrText>
      </w:r>
      <w:r w:rsidRPr="00233A76">
        <w:rPr>
          <w:b/>
          <w:bCs/>
        </w:rPr>
        <w:fldChar w:fldCharType="separate"/>
      </w:r>
      <w:hyperlink w:anchor="_Toc256000000" w:history="1">
        <w:r w:rsidRPr="00233A76">
          <w:rPr>
            <w:rStyle w:val="Hyperlink"/>
          </w:rPr>
          <w:t>1</w:t>
        </w:r>
        <w:r w:rsidRPr="00233A76">
          <w:rPr>
            <w:rStyle w:val="Hyperlink"/>
            <w:noProof/>
          </w:rPr>
          <w:tab/>
        </w:r>
        <w:r w:rsidRPr="00233A76">
          <w:rPr>
            <w:rStyle w:val="Hyperlink"/>
          </w:rPr>
          <w:t>AD-SRT Change History</w:t>
        </w:r>
        <w:r>
          <w:rPr>
            <w:rStyle w:val="Hyperlink"/>
          </w:rPr>
          <w:t>……………………………………………………………………………………………………………..</w:t>
        </w:r>
        <w:r w:rsidRPr="00233A76">
          <w:fldChar w:fldCharType="begin"/>
        </w:r>
        <w:r w:rsidRPr="00233A76">
          <w:rPr>
            <w:rStyle w:val="Hyperlink"/>
          </w:rPr>
          <w:instrText xml:space="preserve"> PAGEREF _Toc256000000 \h </w:instrText>
        </w:r>
        <w:r w:rsidRPr="00233A76">
          <w:fldChar w:fldCharType="separate"/>
        </w:r>
        <w:r w:rsidR="00FF68A5">
          <w:rPr>
            <w:rStyle w:val="Hyperlink"/>
            <w:noProof/>
          </w:rPr>
          <w:t>4</w:t>
        </w:r>
        <w:r w:rsidRPr="00233A76">
          <w:fldChar w:fldCharType="end"/>
        </w:r>
      </w:hyperlink>
    </w:p>
    <w:p w14:paraId="05340733" w14:textId="46281415" w:rsidR="00B556D0" w:rsidRPr="00233A76" w:rsidRDefault="00000000" w:rsidP="00E02ABD">
      <w:pPr>
        <w:pStyle w:val="TOC1"/>
        <w:rPr>
          <w:noProof/>
        </w:rPr>
      </w:pPr>
      <w:hyperlink w:anchor="_Toc256000001" w:history="1">
        <w:r w:rsidR="00B556D0" w:rsidRPr="00233A76">
          <w:rPr>
            <w:rStyle w:val="Hyperlink"/>
          </w:rPr>
          <w:t>2</w:t>
        </w:r>
        <w:r w:rsidR="00B556D0" w:rsidRPr="00233A76">
          <w:rPr>
            <w:rStyle w:val="Hyperlink"/>
            <w:noProof/>
          </w:rPr>
          <w:tab/>
        </w:r>
        <w:r w:rsidR="00B556D0" w:rsidRPr="00233A76">
          <w:rPr>
            <w:rStyle w:val="Hyperlink"/>
          </w:rPr>
          <w:t>AD-SRT Support &amp; Maintenance</w:t>
        </w:r>
        <w:r w:rsidR="00E02ABD">
          <w:rPr>
            <w:rStyle w:val="Hyperlink"/>
          </w:rPr>
          <w:t>……………………………………………………………………………………………….3</w:t>
        </w:r>
      </w:hyperlink>
    </w:p>
    <w:p w14:paraId="3804E1A8" w14:textId="5BF333CA" w:rsidR="00B556D0" w:rsidRPr="00233A76" w:rsidRDefault="00000000" w:rsidP="00E02ABD">
      <w:pPr>
        <w:pStyle w:val="TOC1"/>
        <w:rPr>
          <w:noProof/>
        </w:rPr>
      </w:pPr>
      <w:hyperlink w:anchor="_Toc256000002" w:history="1">
        <w:r w:rsidR="00B556D0" w:rsidRPr="00233A76">
          <w:rPr>
            <w:rStyle w:val="Hyperlink"/>
          </w:rPr>
          <w:t>3</w:t>
        </w:r>
        <w:r w:rsidR="00B556D0" w:rsidRPr="00233A76">
          <w:rPr>
            <w:rStyle w:val="Hyperlink"/>
            <w:noProof/>
          </w:rPr>
          <w:tab/>
        </w:r>
        <w:r w:rsidR="00B556D0" w:rsidRPr="00233A76">
          <w:rPr>
            <w:rStyle w:val="Hyperlink"/>
          </w:rPr>
          <w:t>AD-SRT Forms</w:t>
        </w:r>
        <w:r w:rsidR="00E02ABD">
          <w:rPr>
            <w:rStyle w:val="Hyperlink"/>
          </w:rPr>
          <w:t>………………………………………………………………………………………………</w:t>
        </w:r>
        <w:r w:rsidR="000C224E">
          <w:rPr>
            <w:rStyle w:val="Hyperlink"/>
          </w:rPr>
          <w:t>……………………………</w:t>
        </w:r>
        <w:r w:rsidR="00E02ABD">
          <w:rPr>
            <w:rStyle w:val="Hyperlink"/>
          </w:rPr>
          <w:t>3</w:t>
        </w:r>
      </w:hyperlink>
    </w:p>
    <w:p w14:paraId="2E51B15D" w14:textId="2C569A49" w:rsidR="00B556D0" w:rsidRPr="00E02ABD" w:rsidRDefault="00000000" w:rsidP="00E02ABD">
      <w:pPr>
        <w:pStyle w:val="TOC2"/>
        <w:rPr>
          <w:noProof/>
        </w:rPr>
      </w:pPr>
      <w:hyperlink w:anchor="_Toc256000004" w:history="1">
        <w:r w:rsidR="00B556D0" w:rsidRPr="00E02ABD">
          <w:rPr>
            <w:rStyle w:val="Hyperlink"/>
          </w:rPr>
          <w:t>4</w:t>
        </w:r>
        <w:r w:rsidR="00E02ABD" w:rsidRPr="00E02ABD">
          <w:rPr>
            <w:rStyle w:val="Hyperlink"/>
          </w:rPr>
          <w:tab/>
        </w:r>
        <w:r w:rsidR="00B556D0" w:rsidRPr="00E02ABD">
          <w:rPr>
            <w:rStyle w:val="Hyperlink"/>
          </w:rPr>
          <w:t>AD-SRT DataConfiguration…</w:t>
        </w:r>
        <w:r w:rsidR="00B556D0" w:rsidRPr="00E02ABD">
          <w:t>………………………………………………………………………</w:t>
        </w:r>
        <w:r w:rsidR="000C224E">
          <w:t>……………………………..</w:t>
        </w:r>
        <w:r w:rsidR="00B556D0" w:rsidRPr="00E02ABD">
          <w:fldChar w:fldCharType="begin"/>
        </w:r>
        <w:r w:rsidR="00B556D0" w:rsidRPr="00E02ABD">
          <w:rPr>
            <w:rStyle w:val="Hyperlink"/>
          </w:rPr>
          <w:instrText xml:space="preserve"> PAGEREF _Toc256000004 \h </w:instrText>
        </w:r>
        <w:r w:rsidR="00B556D0" w:rsidRPr="00E02ABD">
          <w:fldChar w:fldCharType="separate"/>
        </w:r>
        <w:r w:rsidR="00FF68A5">
          <w:rPr>
            <w:rStyle w:val="Hyperlink"/>
            <w:noProof/>
          </w:rPr>
          <w:t>5</w:t>
        </w:r>
        <w:r w:rsidR="00B556D0" w:rsidRPr="00E02ABD">
          <w:fldChar w:fldCharType="end"/>
        </w:r>
      </w:hyperlink>
    </w:p>
    <w:p w14:paraId="0F0E13A1" w14:textId="252A037B" w:rsidR="00B556D0" w:rsidRPr="00E02ABD" w:rsidRDefault="00000000" w:rsidP="00E02ABD">
      <w:pPr>
        <w:pStyle w:val="TOC2"/>
        <w:rPr>
          <w:noProof/>
        </w:rPr>
      </w:pPr>
      <w:hyperlink w:anchor="_Toc256000005" w:history="1">
        <w:r w:rsidR="00B556D0" w:rsidRPr="00E02ABD">
          <w:rPr>
            <w:rStyle w:val="Hyperlink"/>
          </w:rPr>
          <w:t>4.1    AD-DSL, Declarable Substance List</w:t>
        </w:r>
        <w:r w:rsidR="00E02ABD">
          <w:rPr>
            <w:rStyle w:val="Hyperlink"/>
          </w:rPr>
          <w:t>……………………………</w:t>
        </w:r>
        <w:r w:rsidR="000C224E">
          <w:rPr>
            <w:rStyle w:val="Hyperlink"/>
          </w:rPr>
          <w:t>……………………………………………………………...</w:t>
        </w:r>
        <w:r w:rsidR="00E02ABD">
          <w:rPr>
            <w:rStyle w:val="Hyperlink"/>
          </w:rPr>
          <w:t>4</w:t>
        </w:r>
      </w:hyperlink>
    </w:p>
    <w:p w14:paraId="2A13CEF9" w14:textId="77777777" w:rsidR="00B556D0" w:rsidRDefault="00B556D0" w:rsidP="0095348C">
      <w:pPr>
        <w:spacing w:after="120"/>
      </w:pPr>
      <w:r w:rsidRPr="00233A76">
        <w:rPr>
          <w:bCs/>
        </w:rPr>
        <w:fldChar w:fldCharType="end"/>
      </w:r>
    </w:p>
    <w:p w14:paraId="54F7E4DF" w14:textId="77777777" w:rsidR="00B556D0" w:rsidRDefault="00B556D0" w:rsidP="0095348C">
      <w:pPr>
        <w:pStyle w:val="Heading1"/>
        <w:spacing w:before="240"/>
        <w:ind w:left="360" w:hanging="360"/>
      </w:pPr>
      <w:bookmarkStart w:id="1" w:name="_Toc256000000"/>
      <w:bookmarkStart w:id="2" w:name="_Toc516578776"/>
      <w:bookmarkStart w:id="3" w:name="_Toc524711261"/>
      <w:bookmarkStart w:id="4" w:name="_Toc2273029"/>
      <w:r>
        <w:t>AD-SRT Change History</w:t>
      </w:r>
      <w:bookmarkEnd w:id="1"/>
      <w:bookmarkEnd w:id="2"/>
      <w:bookmarkEnd w:id="3"/>
      <w:bookmarkEnd w:id="4"/>
    </w:p>
    <w:p w14:paraId="35407BCF" w14:textId="675BD648" w:rsidR="00D82767" w:rsidRPr="0095348C" w:rsidRDefault="00B556D0" w:rsidP="0095348C">
      <w:pPr>
        <w:pStyle w:val="ListBullet"/>
        <w:spacing w:after="120"/>
        <w:rPr>
          <w:b/>
          <w:bCs/>
        </w:rPr>
      </w:pPr>
      <w:r w:rsidRPr="008723DF">
        <w:t xml:space="preserve">In </w:t>
      </w:r>
      <w:r w:rsidR="003945F8">
        <w:t>September 2023</w:t>
      </w:r>
      <w:r>
        <w:t>, IAEG® published Version 1.</w:t>
      </w:r>
      <w:r w:rsidR="003945F8">
        <w:t>2.3</w:t>
      </w:r>
      <w:r>
        <w:t xml:space="preserve"> of the AD-SRT Excel base tool. However, </w:t>
      </w:r>
      <w:r w:rsidR="003945F8">
        <w:t xml:space="preserve">to maintain AD-SRT compatible to IPC-1754 AM2 </w:t>
      </w:r>
      <w:r w:rsidR="002C5BBB">
        <w:t>release we update</w:t>
      </w:r>
      <w:r w:rsidR="003D0C2F">
        <w:t>d</w:t>
      </w:r>
      <w:r w:rsidR="002C5BBB">
        <w:t xml:space="preserve"> the AD-SRT tool </w:t>
      </w:r>
      <w:r w:rsidR="002C5BBB" w:rsidRPr="00D82767">
        <w:rPr>
          <w:b/>
          <w:bCs/>
        </w:rPr>
        <w:t xml:space="preserve">with the following list: </w:t>
      </w:r>
    </w:p>
    <w:tbl>
      <w:tblPr>
        <w:tblW w:w="9890" w:type="dxa"/>
        <w:tblLook w:val="04A0" w:firstRow="1" w:lastRow="0" w:firstColumn="1" w:lastColumn="0" w:noHBand="0" w:noVBand="1"/>
      </w:tblPr>
      <w:tblGrid>
        <w:gridCol w:w="2420"/>
        <w:gridCol w:w="5670"/>
        <w:gridCol w:w="1800"/>
      </w:tblGrid>
      <w:tr w:rsidR="00D82767" w:rsidRPr="00D82767" w14:paraId="1ED5D458" w14:textId="77777777" w:rsidTr="0095348C">
        <w:trPr>
          <w:trHeight w:val="582"/>
        </w:trPr>
        <w:tc>
          <w:tcPr>
            <w:tcW w:w="2420" w:type="dxa"/>
            <w:tcBorders>
              <w:top w:val="single" w:sz="8" w:space="0" w:color="auto"/>
              <w:left w:val="single" w:sz="8" w:space="0" w:color="auto"/>
              <w:bottom w:val="single" w:sz="8" w:space="0" w:color="auto"/>
              <w:right w:val="single" w:sz="4" w:space="0" w:color="auto"/>
            </w:tcBorders>
            <w:shd w:val="clear" w:color="000000" w:fill="9BBB59"/>
            <w:vAlign w:val="center"/>
            <w:hideMark/>
          </w:tcPr>
          <w:p w14:paraId="5C253B71" w14:textId="77777777" w:rsidR="00D82767" w:rsidRPr="00D82767" w:rsidRDefault="00D82767" w:rsidP="00D82767">
            <w:pPr>
              <w:spacing w:after="0" w:line="240" w:lineRule="auto"/>
              <w:rPr>
                <w:rFonts w:ascii="Calibri" w:eastAsia="Times New Roman" w:hAnsi="Calibri" w:cs="Calibri"/>
                <w:b/>
                <w:bCs/>
                <w:color w:val="000000"/>
                <w:lang w:val="en-US" w:eastAsia="en-US"/>
              </w:rPr>
            </w:pPr>
            <w:bookmarkStart w:id="5" w:name="_Toc256000001"/>
            <w:bookmarkStart w:id="6" w:name="_Toc516578777"/>
            <w:bookmarkStart w:id="7" w:name="_Toc524711262"/>
            <w:bookmarkStart w:id="8" w:name="_Toc2273030"/>
            <w:r w:rsidRPr="00D82767">
              <w:rPr>
                <w:rFonts w:ascii="Calibri" w:eastAsia="Times New Roman" w:hAnsi="Calibri" w:cs="Calibri"/>
                <w:b/>
                <w:bCs/>
                <w:color w:val="000000"/>
                <w:lang w:eastAsia="en-US"/>
              </w:rPr>
              <w:t>Location / Tabs</w:t>
            </w:r>
          </w:p>
        </w:tc>
        <w:tc>
          <w:tcPr>
            <w:tcW w:w="5670" w:type="dxa"/>
            <w:tcBorders>
              <w:top w:val="single" w:sz="8" w:space="0" w:color="auto"/>
              <w:left w:val="nil"/>
              <w:bottom w:val="single" w:sz="8" w:space="0" w:color="auto"/>
              <w:right w:val="single" w:sz="4" w:space="0" w:color="auto"/>
            </w:tcBorders>
            <w:shd w:val="clear" w:color="000000" w:fill="9BBB59"/>
            <w:vAlign w:val="center"/>
            <w:hideMark/>
          </w:tcPr>
          <w:p w14:paraId="1B663844" w14:textId="77777777" w:rsidR="00D82767" w:rsidRPr="00D82767" w:rsidRDefault="00D82767" w:rsidP="00D82767">
            <w:pPr>
              <w:spacing w:after="0" w:line="240" w:lineRule="auto"/>
              <w:jc w:val="center"/>
              <w:rPr>
                <w:rFonts w:ascii="Calibri" w:eastAsia="Times New Roman" w:hAnsi="Calibri" w:cs="Calibri"/>
                <w:b/>
                <w:bCs/>
                <w:color w:val="000000"/>
                <w:lang w:val="en-US" w:eastAsia="en-US"/>
              </w:rPr>
            </w:pPr>
            <w:r w:rsidRPr="00D82767">
              <w:rPr>
                <w:rFonts w:ascii="Calibri" w:eastAsia="Times New Roman" w:hAnsi="Calibri" w:cs="Calibri"/>
                <w:b/>
                <w:bCs/>
                <w:color w:val="000000"/>
                <w:lang w:eastAsia="en-US"/>
              </w:rPr>
              <w:t>Modifications</w:t>
            </w:r>
          </w:p>
        </w:tc>
        <w:tc>
          <w:tcPr>
            <w:tcW w:w="1800" w:type="dxa"/>
            <w:tcBorders>
              <w:top w:val="single" w:sz="8" w:space="0" w:color="auto"/>
              <w:left w:val="nil"/>
              <w:bottom w:val="single" w:sz="8" w:space="0" w:color="auto"/>
              <w:right w:val="single" w:sz="8" w:space="0" w:color="auto"/>
            </w:tcBorders>
            <w:shd w:val="clear" w:color="000000" w:fill="9BBB59"/>
            <w:vAlign w:val="center"/>
            <w:hideMark/>
          </w:tcPr>
          <w:p w14:paraId="3B8956DB" w14:textId="77777777" w:rsidR="00D82767" w:rsidRPr="00D82767" w:rsidRDefault="00D82767" w:rsidP="00D82767">
            <w:pPr>
              <w:spacing w:after="0" w:line="240" w:lineRule="auto"/>
              <w:jc w:val="center"/>
              <w:rPr>
                <w:rFonts w:ascii="Calibri" w:eastAsia="Times New Roman" w:hAnsi="Calibri" w:cs="Calibri"/>
                <w:b/>
                <w:bCs/>
                <w:color w:val="000000"/>
                <w:lang w:val="en-US" w:eastAsia="en-US"/>
              </w:rPr>
            </w:pPr>
            <w:r w:rsidRPr="00D82767">
              <w:rPr>
                <w:rFonts w:ascii="Calibri" w:eastAsia="Times New Roman" w:hAnsi="Calibri" w:cs="Calibri"/>
                <w:b/>
                <w:bCs/>
                <w:color w:val="000000"/>
                <w:lang w:eastAsia="en-US"/>
              </w:rPr>
              <w:t>IAEG Maintenance Request #</w:t>
            </w:r>
          </w:p>
        </w:tc>
      </w:tr>
      <w:tr w:rsidR="00D82767" w:rsidRPr="00D82767" w14:paraId="07137E4A" w14:textId="77777777" w:rsidTr="0095348C">
        <w:trPr>
          <w:trHeight w:val="294"/>
        </w:trPr>
        <w:tc>
          <w:tcPr>
            <w:tcW w:w="2420" w:type="dxa"/>
            <w:tcBorders>
              <w:top w:val="nil"/>
              <w:left w:val="single" w:sz="8" w:space="0" w:color="auto"/>
              <w:bottom w:val="single" w:sz="8" w:space="0" w:color="auto"/>
              <w:right w:val="single" w:sz="8" w:space="0" w:color="auto"/>
            </w:tcBorders>
            <w:shd w:val="clear" w:color="000000" w:fill="9BBB59"/>
            <w:vAlign w:val="center"/>
            <w:hideMark/>
          </w:tcPr>
          <w:p w14:paraId="0C400412" w14:textId="77777777" w:rsidR="00D82767" w:rsidRPr="00D82767" w:rsidRDefault="00D82767" w:rsidP="00D82767">
            <w:pPr>
              <w:spacing w:after="0" w:line="240" w:lineRule="auto"/>
              <w:rPr>
                <w:rFonts w:ascii="Calibri" w:eastAsia="Times New Roman" w:hAnsi="Calibri" w:cs="Calibri"/>
                <w:b/>
                <w:bCs/>
                <w:color w:val="000000"/>
                <w:lang w:val="en-US" w:eastAsia="en-US"/>
              </w:rPr>
            </w:pPr>
            <w:r w:rsidRPr="00D82767">
              <w:rPr>
                <w:rFonts w:ascii="Calibri" w:eastAsia="Times New Roman" w:hAnsi="Calibri" w:cs="Calibri"/>
                <w:b/>
                <w:bCs/>
                <w:color w:val="000000"/>
                <w:lang w:eastAsia="en-US"/>
              </w:rPr>
              <w:t>DSL</w:t>
            </w:r>
          </w:p>
        </w:tc>
        <w:tc>
          <w:tcPr>
            <w:tcW w:w="5670" w:type="dxa"/>
            <w:tcBorders>
              <w:top w:val="nil"/>
              <w:left w:val="nil"/>
              <w:bottom w:val="single" w:sz="8" w:space="0" w:color="auto"/>
              <w:right w:val="single" w:sz="8" w:space="0" w:color="auto"/>
            </w:tcBorders>
            <w:shd w:val="clear" w:color="000000" w:fill="D6E3BC"/>
            <w:vAlign w:val="center"/>
            <w:hideMark/>
          </w:tcPr>
          <w:p w14:paraId="0EE8E0B0" w14:textId="77777777" w:rsidR="00D82767" w:rsidRPr="00D82767" w:rsidRDefault="00D82767" w:rsidP="00D82767">
            <w:pPr>
              <w:spacing w:after="0" w:line="240" w:lineRule="auto"/>
              <w:rPr>
                <w:rFonts w:ascii="Calibri" w:eastAsia="Times New Roman" w:hAnsi="Calibri" w:cs="Calibri"/>
                <w:color w:val="000000"/>
                <w:lang w:val="en-US" w:eastAsia="en-US"/>
              </w:rPr>
            </w:pPr>
            <w:r w:rsidRPr="00D82767">
              <w:rPr>
                <w:rFonts w:ascii="Calibri" w:eastAsia="Times New Roman" w:hAnsi="Calibri" w:cs="Calibri"/>
                <w:color w:val="000000"/>
                <w:lang w:eastAsia="en-US"/>
              </w:rPr>
              <w:t xml:space="preserve">Update the tab with the latest AD-DSL 7.0  </w:t>
            </w:r>
          </w:p>
        </w:tc>
        <w:tc>
          <w:tcPr>
            <w:tcW w:w="1800" w:type="dxa"/>
            <w:tcBorders>
              <w:top w:val="nil"/>
              <w:left w:val="nil"/>
              <w:bottom w:val="single" w:sz="8" w:space="0" w:color="auto"/>
              <w:right w:val="single" w:sz="8" w:space="0" w:color="auto"/>
            </w:tcBorders>
            <w:shd w:val="clear" w:color="000000" w:fill="D6E3BC"/>
            <w:vAlign w:val="center"/>
            <w:hideMark/>
          </w:tcPr>
          <w:p w14:paraId="1700719E" w14:textId="77777777" w:rsidR="00D82767" w:rsidRPr="00D82767" w:rsidRDefault="00D82767" w:rsidP="00D82767">
            <w:pPr>
              <w:spacing w:after="0" w:line="240" w:lineRule="auto"/>
              <w:jc w:val="center"/>
              <w:rPr>
                <w:rFonts w:ascii="Calibri" w:eastAsia="Times New Roman" w:hAnsi="Calibri" w:cs="Calibri"/>
                <w:color w:val="000000"/>
                <w:lang w:val="en-US" w:eastAsia="en-US"/>
              </w:rPr>
            </w:pPr>
            <w:r w:rsidRPr="00D82767">
              <w:rPr>
                <w:rFonts w:ascii="Calibri" w:eastAsia="Times New Roman" w:hAnsi="Calibri" w:cs="Calibri"/>
                <w:color w:val="000000"/>
                <w:lang w:eastAsia="en-US"/>
              </w:rPr>
              <w:t>N/A</w:t>
            </w:r>
          </w:p>
        </w:tc>
      </w:tr>
      <w:tr w:rsidR="00D82767" w:rsidRPr="00D82767" w14:paraId="0FFE6076" w14:textId="77777777" w:rsidTr="0095348C">
        <w:trPr>
          <w:trHeight w:val="582"/>
        </w:trPr>
        <w:tc>
          <w:tcPr>
            <w:tcW w:w="2420" w:type="dxa"/>
            <w:tcBorders>
              <w:top w:val="nil"/>
              <w:left w:val="single" w:sz="8" w:space="0" w:color="auto"/>
              <w:bottom w:val="nil"/>
              <w:right w:val="single" w:sz="8" w:space="0" w:color="auto"/>
            </w:tcBorders>
            <w:shd w:val="clear" w:color="000000" w:fill="9BBB59"/>
            <w:vAlign w:val="center"/>
            <w:hideMark/>
          </w:tcPr>
          <w:p w14:paraId="11E07FBA" w14:textId="77777777" w:rsidR="00D82767" w:rsidRPr="00D82767" w:rsidRDefault="00D82767" w:rsidP="00D82767">
            <w:pPr>
              <w:spacing w:after="0" w:line="240" w:lineRule="auto"/>
              <w:jc w:val="left"/>
              <w:rPr>
                <w:rFonts w:ascii="Calibri" w:eastAsia="Times New Roman" w:hAnsi="Calibri" w:cs="Calibri"/>
                <w:b/>
                <w:bCs/>
                <w:color w:val="000000"/>
                <w:lang w:val="en-US" w:eastAsia="en-US"/>
              </w:rPr>
            </w:pPr>
            <w:r w:rsidRPr="00D82767">
              <w:rPr>
                <w:rFonts w:ascii="Calibri" w:eastAsia="Times New Roman" w:hAnsi="Calibri" w:cs="Calibri"/>
                <w:b/>
                <w:bCs/>
                <w:color w:val="000000"/>
                <w:lang w:eastAsia="en-US"/>
              </w:rPr>
              <w:t>Overview Tab</w:t>
            </w:r>
          </w:p>
        </w:tc>
        <w:tc>
          <w:tcPr>
            <w:tcW w:w="5670" w:type="dxa"/>
            <w:tcBorders>
              <w:top w:val="nil"/>
              <w:left w:val="nil"/>
              <w:bottom w:val="nil"/>
              <w:right w:val="single" w:sz="8" w:space="0" w:color="auto"/>
            </w:tcBorders>
            <w:shd w:val="clear" w:color="000000" w:fill="D6E3BC"/>
            <w:vAlign w:val="center"/>
            <w:hideMark/>
          </w:tcPr>
          <w:p w14:paraId="6C90C7CD" w14:textId="77777777" w:rsidR="00D82767" w:rsidRPr="00D82767" w:rsidRDefault="00D82767" w:rsidP="00D82767">
            <w:pPr>
              <w:spacing w:after="0" w:line="240" w:lineRule="auto"/>
              <w:rPr>
                <w:rFonts w:ascii="Calibri" w:eastAsia="Times New Roman" w:hAnsi="Calibri" w:cs="Calibri"/>
                <w:color w:val="000000"/>
                <w:lang w:val="en-US" w:eastAsia="en-US"/>
              </w:rPr>
            </w:pPr>
            <w:r w:rsidRPr="00D82767">
              <w:rPr>
                <w:rFonts w:ascii="Calibri" w:eastAsia="Times New Roman" w:hAnsi="Calibri" w:cs="Calibri"/>
                <w:color w:val="000000"/>
                <w:lang w:eastAsia="en-US"/>
              </w:rPr>
              <w:t>New IAEG Brand Logo</w:t>
            </w:r>
          </w:p>
        </w:tc>
        <w:tc>
          <w:tcPr>
            <w:tcW w:w="1800" w:type="dxa"/>
            <w:tcBorders>
              <w:top w:val="nil"/>
              <w:left w:val="nil"/>
              <w:bottom w:val="nil"/>
              <w:right w:val="single" w:sz="8" w:space="0" w:color="auto"/>
            </w:tcBorders>
            <w:shd w:val="clear" w:color="000000" w:fill="D6E3BC"/>
            <w:vAlign w:val="center"/>
            <w:hideMark/>
          </w:tcPr>
          <w:p w14:paraId="094DFD62" w14:textId="77777777" w:rsidR="00D82767" w:rsidRPr="00D82767" w:rsidRDefault="00D82767" w:rsidP="00D82767">
            <w:pPr>
              <w:spacing w:after="0" w:line="240" w:lineRule="auto"/>
              <w:jc w:val="center"/>
              <w:rPr>
                <w:rFonts w:ascii="Calibri" w:eastAsia="Times New Roman" w:hAnsi="Calibri" w:cs="Calibri"/>
                <w:color w:val="000000"/>
                <w:lang w:val="en-US" w:eastAsia="en-US"/>
              </w:rPr>
            </w:pPr>
            <w:r w:rsidRPr="00D82767">
              <w:rPr>
                <w:rFonts w:ascii="Calibri" w:eastAsia="Times New Roman" w:hAnsi="Calibri" w:cs="Calibri"/>
                <w:color w:val="000000"/>
                <w:lang w:eastAsia="en-US"/>
              </w:rPr>
              <w:t>N/A</w:t>
            </w:r>
          </w:p>
        </w:tc>
      </w:tr>
      <w:tr w:rsidR="00D82767" w:rsidRPr="00D82767" w14:paraId="76F14B64" w14:textId="77777777" w:rsidTr="0095348C">
        <w:trPr>
          <w:trHeight w:val="1158"/>
        </w:trPr>
        <w:tc>
          <w:tcPr>
            <w:tcW w:w="2420" w:type="dxa"/>
            <w:vMerge w:val="restart"/>
            <w:tcBorders>
              <w:top w:val="single" w:sz="8" w:space="0" w:color="auto"/>
              <w:left w:val="single" w:sz="8" w:space="0" w:color="auto"/>
              <w:bottom w:val="single" w:sz="8" w:space="0" w:color="000000"/>
              <w:right w:val="single" w:sz="4" w:space="0" w:color="auto"/>
            </w:tcBorders>
            <w:shd w:val="clear" w:color="000000" w:fill="9BBB59"/>
            <w:vAlign w:val="center"/>
            <w:hideMark/>
          </w:tcPr>
          <w:p w14:paraId="2CC749C3" w14:textId="77777777" w:rsidR="00D82767" w:rsidRPr="00D82767" w:rsidRDefault="00D82767" w:rsidP="00D82767">
            <w:pPr>
              <w:spacing w:after="0" w:line="240" w:lineRule="auto"/>
              <w:jc w:val="left"/>
              <w:rPr>
                <w:rFonts w:ascii="Calibri" w:eastAsia="Times New Roman" w:hAnsi="Calibri" w:cs="Calibri"/>
                <w:b/>
                <w:bCs/>
                <w:color w:val="000000"/>
                <w:lang w:val="en-US" w:eastAsia="en-US"/>
              </w:rPr>
            </w:pPr>
            <w:r w:rsidRPr="00D82767">
              <w:rPr>
                <w:rFonts w:ascii="Calibri" w:eastAsia="Times New Roman" w:hAnsi="Calibri" w:cs="Calibri"/>
                <w:b/>
                <w:bCs/>
                <w:color w:val="000000"/>
                <w:lang w:val="en-US" w:eastAsia="en-US"/>
              </w:rPr>
              <w:t>Substance-in-Product</w:t>
            </w:r>
          </w:p>
        </w:tc>
        <w:tc>
          <w:tcPr>
            <w:tcW w:w="5670" w:type="dxa"/>
            <w:tcBorders>
              <w:top w:val="single" w:sz="8" w:space="0" w:color="auto"/>
              <w:left w:val="nil"/>
              <w:bottom w:val="single" w:sz="4" w:space="0" w:color="auto"/>
              <w:right w:val="single" w:sz="4" w:space="0" w:color="auto"/>
            </w:tcBorders>
            <w:shd w:val="clear" w:color="000000" w:fill="D6E3BC"/>
            <w:vAlign w:val="center"/>
            <w:hideMark/>
          </w:tcPr>
          <w:p w14:paraId="74658ED6" w14:textId="77777777" w:rsidR="00D82767" w:rsidRPr="00D82767" w:rsidRDefault="00D82767" w:rsidP="00D82767">
            <w:pPr>
              <w:spacing w:after="0" w:line="240" w:lineRule="auto"/>
              <w:jc w:val="left"/>
              <w:rPr>
                <w:rFonts w:ascii="Calibri" w:eastAsia="Times New Roman" w:hAnsi="Calibri" w:cs="Calibri"/>
                <w:color w:val="000000"/>
                <w:lang w:val="en-US" w:eastAsia="en-US"/>
              </w:rPr>
            </w:pPr>
            <w:r w:rsidRPr="00D82767">
              <w:rPr>
                <w:rFonts w:ascii="Calibri" w:eastAsia="Times New Roman" w:hAnsi="Calibri" w:cs="Calibri"/>
                <w:color w:val="000000"/>
                <w:lang w:val="en-US" w:eastAsia="en-US"/>
              </w:rPr>
              <w:t>Added "Article Category (</w:t>
            </w:r>
            <w:proofErr w:type="spellStart"/>
            <w:r w:rsidRPr="00D82767">
              <w:rPr>
                <w:rFonts w:ascii="Calibri" w:eastAsia="Times New Roman" w:hAnsi="Calibri" w:cs="Calibri"/>
                <w:color w:val="000000"/>
                <w:lang w:val="en-US" w:eastAsia="en-US"/>
              </w:rPr>
              <w:t>Taric</w:t>
            </w:r>
            <w:proofErr w:type="spellEnd"/>
            <w:r w:rsidRPr="00D82767">
              <w:rPr>
                <w:rFonts w:ascii="Calibri" w:eastAsia="Times New Roman" w:hAnsi="Calibri" w:cs="Calibri"/>
                <w:color w:val="000000"/>
                <w:lang w:val="en-US" w:eastAsia="en-US"/>
              </w:rPr>
              <w:t xml:space="preserve"> Code)", "Production in European Union", "Material Class ID", "Material Class Name", "Material Class List Version", "Mixture Category", "Mixture Class Name", "Mixture Class List Version", "SCIP Substance Group", "Safe Use Instructions", and "Concentration Range" fields.</w:t>
            </w:r>
          </w:p>
        </w:tc>
        <w:tc>
          <w:tcPr>
            <w:tcW w:w="1800" w:type="dxa"/>
            <w:vMerge w:val="restart"/>
            <w:tcBorders>
              <w:top w:val="single" w:sz="8" w:space="0" w:color="auto"/>
              <w:left w:val="single" w:sz="4" w:space="0" w:color="auto"/>
              <w:bottom w:val="single" w:sz="8" w:space="0" w:color="000000"/>
              <w:right w:val="single" w:sz="8" w:space="0" w:color="auto"/>
            </w:tcBorders>
            <w:shd w:val="clear" w:color="000000" w:fill="D6E3BC"/>
            <w:vAlign w:val="center"/>
            <w:hideMark/>
          </w:tcPr>
          <w:p w14:paraId="77258F24" w14:textId="77777777" w:rsidR="00D82767" w:rsidRPr="00D82767" w:rsidRDefault="00D82767" w:rsidP="00D82767">
            <w:pPr>
              <w:spacing w:after="0" w:line="240" w:lineRule="auto"/>
              <w:jc w:val="center"/>
              <w:rPr>
                <w:rFonts w:ascii="Calibri" w:eastAsia="Times New Roman" w:hAnsi="Calibri" w:cs="Calibri"/>
                <w:color w:val="000000"/>
                <w:lang w:val="en-US" w:eastAsia="en-US"/>
              </w:rPr>
            </w:pPr>
            <w:r w:rsidRPr="00D82767">
              <w:rPr>
                <w:rFonts w:ascii="Calibri" w:eastAsia="Times New Roman" w:hAnsi="Calibri" w:cs="Calibri"/>
                <w:color w:val="000000"/>
                <w:lang w:val="en-US" w:eastAsia="en-US"/>
              </w:rPr>
              <w:t>Compatibility to IPC-1754 AM2 MR189, MR190</w:t>
            </w:r>
          </w:p>
        </w:tc>
      </w:tr>
      <w:tr w:rsidR="00D82767" w:rsidRPr="00D82767" w14:paraId="4064601B" w14:textId="77777777" w:rsidTr="0095348C">
        <w:trPr>
          <w:trHeight w:val="582"/>
        </w:trPr>
        <w:tc>
          <w:tcPr>
            <w:tcW w:w="2420" w:type="dxa"/>
            <w:vMerge/>
            <w:tcBorders>
              <w:top w:val="single" w:sz="8" w:space="0" w:color="auto"/>
              <w:left w:val="single" w:sz="8" w:space="0" w:color="auto"/>
              <w:bottom w:val="single" w:sz="8" w:space="0" w:color="000000"/>
              <w:right w:val="single" w:sz="4" w:space="0" w:color="auto"/>
            </w:tcBorders>
            <w:vAlign w:val="center"/>
            <w:hideMark/>
          </w:tcPr>
          <w:p w14:paraId="21E62A26" w14:textId="77777777" w:rsidR="00D82767" w:rsidRPr="00D82767" w:rsidRDefault="00D82767" w:rsidP="00D82767">
            <w:pPr>
              <w:spacing w:after="0" w:line="240" w:lineRule="auto"/>
              <w:jc w:val="left"/>
              <w:rPr>
                <w:rFonts w:ascii="Calibri" w:eastAsia="Times New Roman" w:hAnsi="Calibri" w:cs="Calibri"/>
                <w:b/>
                <w:bCs/>
                <w:color w:val="000000"/>
                <w:lang w:val="en-US" w:eastAsia="en-US"/>
              </w:rPr>
            </w:pPr>
          </w:p>
        </w:tc>
        <w:tc>
          <w:tcPr>
            <w:tcW w:w="5670" w:type="dxa"/>
            <w:tcBorders>
              <w:top w:val="nil"/>
              <w:left w:val="nil"/>
              <w:bottom w:val="single" w:sz="4" w:space="0" w:color="auto"/>
              <w:right w:val="single" w:sz="4" w:space="0" w:color="auto"/>
            </w:tcBorders>
            <w:shd w:val="clear" w:color="000000" w:fill="D6E3BC"/>
            <w:vAlign w:val="center"/>
            <w:hideMark/>
          </w:tcPr>
          <w:p w14:paraId="15EBC029" w14:textId="77777777" w:rsidR="00D82767" w:rsidRPr="00D82767" w:rsidRDefault="00D82767" w:rsidP="00D82767">
            <w:pPr>
              <w:spacing w:after="0" w:line="240" w:lineRule="auto"/>
              <w:jc w:val="left"/>
              <w:rPr>
                <w:rFonts w:ascii="Calibri" w:eastAsia="Times New Roman" w:hAnsi="Calibri" w:cs="Calibri"/>
                <w:color w:val="000000"/>
                <w:lang w:val="en-US" w:eastAsia="en-US"/>
              </w:rPr>
            </w:pPr>
            <w:r w:rsidRPr="00D82767">
              <w:rPr>
                <w:rFonts w:ascii="Calibri" w:eastAsia="Times New Roman" w:hAnsi="Calibri" w:cs="Calibri"/>
                <w:color w:val="000000"/>
                <w:lang w:val="en-US" w:eastAsia="en-US"/>
              </w:rPr>
              <w:t>Edited code to automatically enter the correct value in "SCIP Substance Group"</w:t>
            </w:r>
          </w:p>
        </w:tc>
        <w:tc>
          <w:tcPr>
            <w:tcW w:w="1800" w:type="dxa"/>
            <w:vMerge/>
            <w:tcBorders>
              <w:top w:val="single" w:sz="8" w:space="0" w:color="auto"/>
              <w:left w:val="single" w:sz="4" w:space="0" w:color="auto"/>
              <w:bottom w:val="single" w:sz="8" w:space="0" w:color="000000"/>
              <w:right w:val="single" w:sz="8" w:space="0" w:color="auto"/>
            </w:tcBorders>
            <w:vAlign w:val="center"/>
            <w:hideMark/>
          </w:tcPr>
          <w:p w14:paraId="10379BE5" w14:textId="77777777" w:rsidR="00D82767" w:rsidRPr="00D82767" w:rsidRDefault="00D82767" w:rsidP="00D82767">
            <w:pPr>
              <w:spacing w:after="0" w:line="240" w:lineRule="auto"/>
              <w:jc w:val="left"/>
              <w:rPr>
                <w:rFonts w:ascii="Calibri" w:eastAsia="Times New Roman" w:hAnsi="Calibri" w:cs="Calibri"/>
                <w:color w:val="000000"/>
                <w:lang w:val="en-US" w:eastAsia="en-US"/>
              </w:rPr>
            </w:pPr>
          </w:p>
        </w:tc>
      </w:tr>
      <w:tr w:rsidR="00D82767" w:rsidRPr="00D82767" w14:paraId="2F12118F" w14:textId="77777777" w:rsidTr="0095348C">
        <w:trPr>
          <w:trHeight w:val="1194"/>
        </w:trPr>
        <w:tc>
          <w:tcPr>
            <w:tcW w:w="2420" w:type="dxa"/>
            <w:vMerge/>
            <w:tcBorders>
              <w:top w:val="single" w:sz="8" w:space="0" w:color="auto"/>
              <w:left w:val="single" w:sz="8" w:space="0" w:color="auto"/>
              <w:bottom w:val="single" w:sz="8" w:space="0" w:color="000000"/>
              <w:right w:val="single" w:sz="4" w:space="0" w:color="auto"/>
            </w:tcBorders>
            <w:vAlign w:val="center"/>
            <w:hideMark/>
          </w:tcPr>
          <w:p w14:paraId="65C7C353" w14:textId="77777777" w:rsidR="00D82767" w:rsidRPr="00D82767" w:rsidRDefault="00D82767" w:rsidP="00D82767">
            <w:pPr>
              <w:spacing w:after="0" w:line="240" w:lineRule="auto"/>
              <w:jc w:val="left"/>
              <w:rPr>
                <w:rFonts w:ascii="Calibri" w:eastAsia="Times New Roman" w:hAnsi="Calibri" w:cs="Calibri"/>
                <w:b/>
                <w:bCs/>
                <w:color w:val="000000"/>
                <w:lang w:val="en-US" w:eastAsia="en-US"/>
              </w:rPr>
            </w:pPr>
          </w:p>
        </w:tc>
        <w:tc>
          <w:tcPr>
            <w:tcW w:w="5670" w:type="dxa"/>
            <w:tcBorders>
              <w:top w:val="nil"/>
              <w:left w:val="nil"/>
              <w:bottom w:val="single" w:sz="4" w:space="0" w:color="auto"/>
              <w:right w:val="single" w:sz="4" w:space="0" w:color="auto"/>
            </w:tcBorders>
            <w:shd w:val="clear" w:color="000000" w:fill="D6E3BC"/>
            <w:vAlign w:val="center"/>
            <w:hideMark/>
          </w:tcPr>
          <w:p w14:paraId="3B9D26FC" w14:textId="77777777" w:rsidR="00D82767" w:rsidRPr="00D82767" w:rsidRDefault="00D82767" w:rsidP="00D82767">
            <w:pPr>
              <w:spacing w:after="0" w:line="240" w:lineRule="auto"/>
              <w:jc w:val="left"/>
              <w:rPr>
                <w:rFonts w:ascii="Calibri" w:eastAsia="Times New Roman" w:hAnsi="Calibri" w:cs="Calibri"/>
                <w:color w:val="000000"/>
                <w:lang w:val="en-US" w:eastAsia="en-US"/>
              </w:rPr>
            </w:pPr>
            <w:r w:rsidRPr="00D82767">
              <w:rPr>
                <w:rFonts w:ascii="Calibri" w:eastAsia="Times New Roman" w:hAnsi="Calibri" w:cs="Calibri"/>
                <w:color w:val="000000"/>
                <w:lang w:val="en-US" w:eastAsia="en-US"/>
              </w:rPr>
              <w:t xml:space="preserve">Edited code to link "Material Class ID", "Material Class Name", "Material Class List </w:t>
            </w:r>
            <w:proofErr w:type="spellStart"/>
            <w:r w:rsidRPr="00D82767">
              <w:rPr>
                <w:rFonts w:ascii="Calibri" w:eastAsia="Times New Roman" w:hAnsi="Calibri" w:cs="Calibri"/>
                <w:color w:val="000000"/>
                <w:lang w:val="en-US" w:eastAsia="en-US"/>
              </w:rPr>
              <w:t>Verion</w:t>
            </w:r>
            <w:proofErr w:type="spellEnd"/>
            <w:r w:rsidRPr="00D82767">
              <w:rPr>
                <w:rFonts w:ascii="Calibri" w:eastAsia="Times New Roman" w:hAnsi="Calibri" w:cs="Calibri"/>
                <w:color w:val="000000"/>
                <w:lang w:val="en-US" w:eastAsia="en-US"/>
              </w:rPr>
              <w:t>" fields together, and link "Mixture Category", "Mixture Class Name", "Mixture Class List Version" fields together.</w:t>
            </w:r>
          </w:p>
        </w:tc>
        <w:tc>
          <w:tcPr>
            <w:tcW w:w="1800" w:type="dxa"/>
            <w:vMerge/>
            <w:tcBorders>
              <w:top w:val="single" w:sz="8" w:space="0" w:color="auto"/>
              <w:left w:val="single" w:sz="4" w:space="0" w:color="auto"/>
              <w:bottom w:val="single" w:sz="8" w:space="0" w:color="000000"/>
              <w:right w:val="single" w:sz="8" w:space="0" w:color="auto"/>
            </w:tcBorders>
            <w:vAlign w:val="center"/>
            <w:hideMark/>
          </w:tcPr>
          <w:p w14:paraId="16ED779A" w14:textId="77777777" w:rsidR="00D82767" w:rsidRPr="00D82767" w:rsidRDefault="00D82767" w:rsidP="00D82767">
            <w:pPr>
              <w:spacing w:after="0" w:line="240" w:lineRule="auto"/>
              <w:jc w:val="left"/>
              <w:rPr>
                <w:rFonts w:ascii="Calibri" w:eastAsia="Times New Roman" w:hAnsi="Calibri" w:cs="Calibri"/>
                <w:color w:val="000000"/>
                <w:lang w:val="en-US" w:eastAsia="en-US"/>
              </w:rPr>
            </w:pPr>
          </w:p>
        </w:tc>
      </w:tr>
      <w:tr w:rsidR="00D82767" w:rsidRPr="00D82767" w14:paraId="2B6BAD69" w14:textId="77777777" w:rsidTr="0095348C">
        <w:trPr>
          <w:trHeight w:val="412"/>
        </w:trPr>
        <w:tc>
          <w:tcPr>
            <w:tcW w:w="2420" w:type="dxa"/>
            <w:vMerge/>
            <w:tcBorders>
              <w:top w:val="single" w:sz="8" w:space="0" w:color="auto"/>
              <w:left w:val="single" w:sz="8" w:space="0" w:color="auto"/>
              <w:bottom w:val="single" w:sz="8" w:space="0" w:color="000000"/>
              <w:right w:val="single" w:sz="4" w:space="0" w:color="auto"/>
            </w:tcBorders>
            <w:vAlign w:val="center"/>
            <w:hideMark/>
          </w:tcPr>
          <w:p w14:paraId="633860C8" w14:textId="77777777" w:rsidR="00D82767" w:rsidRPr="00D82767" w:rsidRDefault="00D82767" w:rsidP="00D82767">
            <w:pPr>
              <w:spacing w:after="0" w:line="240" w:lineRule="auto"/>
              <w:jc w:val="left"/>
              <w:rPr>
                <w:rFonts w:ascii="Calibri" w:eastAsia="Times New Roman" w:hAnsi="Calibri" w:cs="Calibri"/>
                <w:b/>
                <w:bCs/>
                <w:color w:val="000000"/>
                <w:lang w:val="en-US" w:eastAsia="en-US"/>
              </w:rPr>
            </w:pPr>
          </w:p>
        </w:tc>
        <w:tc>
          <w:tcPr>
            <w:tcW w:w="5670" w:type="dxa"/>
            <w:tcBorders>
              <w:top w:val="nil"/>
              <w:left w:val="nil"/>
              <w:bottom w:val="single" w:sz="4" w:space="0" w:color="auto"/>
              <w:right w:val="single" w:sz="4" w:space="0" w:color="auto"/>
            </w:tcBorders>
            <w:shd w:val="clear" w:color="000000" w:fill="D6E3BC"/>
            <w:vAlign w:val="center"/>
            <w:hideMark/>
          </w:tcPr>
          <w:p w14:paraId="04E5BD97" w14:textId="77777777" w:rsidR="00D82767" w:rsidRPr="00D82767" w:rsidRDefault="00D82767" w:rsidP="00D82767">
            <w:pPr>
              <w:spacing w:after="0" w:line="240" w:lineRule="auto"/>
              <w:jc w:val="left"/>
              <w:rPr>
                <w:rFonts w:ascii="Calibri" w:eastAsia="Times New Roman" w:hAnsi="Calibri" w:cs="Calibri"/>
                <w:color w:val="000000"/>
                <w:lang w:val="en-US" w:eastAsia="en-US"/>
              </w:rPr>
            </w:pPr>
            <w:r w:rsidRPr="00D82767">
              <w:rPr>
                <w:rFonts w:ascii="Calibri" w:eastAsia="Times New Roman" w:hAnsi="Calibri" w:cs="Calibri"/>
                <w:color w:val="000000"/>
                <w:lang w:val="en-US" w:eastAsia="en-US"/>
              </w:rPr>
              <w:t>Added drop-down menus for new fields.</w:t>
            </w:r>
          </w:p>
        </w:tc>
        <w:tc>
          <w:tcPr>
            <w:tcW w:w="1800" w:type="dxa"/>
            <w:vMerge/>
            <w:tcBorders>
              <w:top w:val="single" w:sz="8" w:space="0" w:color="auto"/>
              <w:left w:val="single" w:sz="4" w:space="0" w:color="auto"/>
              <w:bottom w:val="single" w:sz="8" w:space="0" w:color="000000"/>
              <w:right w:val="single" w:sz="8" w:space="0" w:color="auto"/>
            </w:tcBorders>
            <w:vAlign w:val="center"/>
            <w:hideMark/>
          </w:tcPr>
          <w:p w14:paraId="7CA6F0AA" w14:textId="77777777" w:rsidR="00D82767" w:rsidRPr="00D82767" w:rsidRDefault="00D82767" w:rsidP="00D82767">
            <w:pPr>
              <w:spacing w:after="0" w:line="240" w:lineRule="auto"/>
              <w:jc w:val="left"/>
              <w:rPr>
                <w:rFonts w:ascii="Calibri" w:eastAsia="Times New Roman" w:hAnsi="Calibri" w:cs="Calibri"/>
                <w:color w:val="000000"/>
                <w:lang w:val="en-US" w:eastAsia="en-US"/>
              </w:rPr>
            </w:pPr>
          </w:p>
        </w:tc>
      </w:tr>
      <w:tr w:rsidR="00D82767" w:rsidRPr="00D82767" w14:paraId="628F0DB5" w14:textId="77777777" w:rsidTr="0095348C">
        <w:trPr>
          <w:trHeight w:val="582"/>
        </w:trPr>
        <w:tc>
          <w:tcPr>
            <w:tcW w:w="2420" w:type="dxa"/>
            <w:vMerge/>
            <w:tcBorders>
              <w:top w:val="single" w:sz="8" w:space="0" w:color="auto"/>
              <w:left w:val="single" w:sz="8" w:space="0" w:color="auto"/>
              <w:bottom w:val="single" w:sz="8" w:space="0" w:color="000000"/>
              <w:right w:val="single" w:sz="4" w:space="0" w:color="auto"/>
            </w:tcBorders>
            <w:vAlign w:val="center"/>
            <w:hideMark/>
          </w:tcPr>
          <w:p w14:paraId="5CE84E2A" w14:textId="77777777" w:rsidR="00D82767" w:rsidRPr="00D82767" w:rsidRDefault="00D82767" w:rsidP="00D82767">
            <w:pPr>
              <w:spacing w:after="0" w:line="240" w:lineRule="auto"/>
              <w:jc w:val="left"/>
              <w:rPr>
                <w:rFonts w:ascii="Calibri" w:eastAsia="Times New Roman" w:hAnsi="Calibri" w:cs="Calibri"/>
                <w:b/>
                <w:bCs/>
                <w:color w:val="000000"/>
                <w:lang w:val="en-US" w:eastAsia="en-US"/>
              </w:rPr>
            </w:pPr>
          </w:p>
        </w:tc>
        <w:tc>
          <w:tcPr>
            <w:tcW w:w="5670" w:type="dxa"/>
            <w:tcBorders>
              <w:top w:val="nil"/>
              <w:left w:val="nil"/>
              <w:bottom w:val="single" w:sz="4" w:space="0" w:color="auto"/>
              <w:right w:val="single" w:sz="4" w:space="0" w:color="auto"/>
            </w:tcBorders>
            <w:shd w:val="clear" w:color="000000" w:fill="D6E3BC"/>
            <w:vAlign w:val="center"/>
            <w:hideMark/>
          </w:tcPr>
          <w:p w14:paraId="570B83DD" w14:textId="77777777" w:rsidR="00D82767" w:rsidRPr="00D82767" w:rsidRDefault="00D82767" w:rsidP="00D82767">
            <w:pPr>
              <w:spacing w:after="0" w:line="240" w:lineRule="auto"/>
              <w:jc w:val="left"/>
              <w:rPr>
                <w:rFonts w:ascii="Calibri" w:eastAsia="Times New Roman" w:hAnsi="Calibri" w:cs="Calibri"/>
                <w:color w:val="000000"/>
                <w:lang w:val="en-US" w:eastAsia="en-US"/>
              </w:rPr>
            </w:pPr>
            <w:r w:rsidRPr="00D82767">
              <w:rPr>
                <w:rFonts w:ascii="Calibri" w:eastAsia="Times New Roman" w:hAnsi="Calibri" w:cs="Calibri"/>
                <w:color w:val="000000"/>
                <w:lang w:val="en-US" w:eastAsia="en-US"/>
              </w:rPr>
              <w:t>Removed "SCIP" reference from "SCIP Substance Group" field, removed "Production in European Union" and "Concentration Range" fields.</w:t>
            </w:r>
          </w:p>
        </w:tc>
        <w:tc>
          <w:tcPr>
            <w:tcW w:w="1800" w:type="dxa"/>
            <w:vMerge/>
            <w:tcBorders>
              <w:top w:val="single" w:sz="8" w:space="0" w:color="auto"/>
              <w:left w:val="single" w:sz="4" w:space="0" w:color="auto"/>
              <w:bottom w:val="single" w:sz="8" w:space="0" w:color="000000"/>
              <w:right w:val="single" w:sz="8" w:space="0" w:color="auto"/>
            </w:tcBorders>
            <w:vAlign w:val="center"/>
            <w:hideMark/>
          </w:tcPr>
          <w:p w14:paraId="6FCE909F" w14:textId="77777777" w:rsidR="00D82767" w:rsidRPr="00D82767" w:rsidRDefault="00D82767" w:rsidP="00D82767">
            <w:pPr>
              <w:spacing w:after="0" w:line="240" w:lineRule="auto"/>
              <w:jc w:val="left"/>
              <w:rPr>
                <w:rFonts w:ascii="Calibri" w:eastAsia="Times New Roman" w:hAnsi="Calibri" w:cs="Calibri"/>
                <w:color w:val="000000"/>
                <w:lang w:val="en-US" w:eastAsia="en-US"/>
              </w:rPr>
            </w:pPr>
          </w:p>
        </w:tc>
      </w:tr>
      <w:tr w:rsidR="00D82767" w:rsidRPr="00D82767" w14:paraId="2707D02A" w14:textId="77777777" w:rsidTr="0095348C">
        <w:trPr>
          <w:trHeight w:val="1446"/>
        </w:trPr>
        <w:tc>
          <w:tcPr>
            <w:tcW w:w="2420" w:type="dxa"/>
            <w:vMerge/>
            <w:tcBorders>
              <w:top w:val="single" w:sz="8" w:space="0" w:color="auto"/>
              <w:left w:val="single" w:sz="8" w:space="0" w:color="auto"/>
              <w:bottom w:val="single" w:sz="8" w:space="0" w:color="000000"/>
              <w:right w:val="single" w:sz="4" w:space="0" w:color="auto"/>
            </w:tcBorders>
            <w:vAlign w:val="center"/>
            <w:hideMark/>
          </w:tcPr>
          <w:p w14:paraId="250DD2F7" w14:textId="77777777" w:rsidR="00D82767" w:rsidRPr="00D82767" w:rsidRDefault="00D82767" w:rsidP="00D82767">
            <w:pPr>
              <w:spacing w:after="0" w:line="240" w:lineRule="auto"/>
              <w:jc w:val="left"/>
              <w:rPr>
                <w:rFonts w:ascii="Calibri" w:eastAsia="Times New Roman" w:hAnsi="Calibri" w:cs="Calibri"/>
                <w:b/>
                <w:bCs/>
                <w:color w:val="000000"/>
                <w:lang w:val="en-US" w:eastAsia="en-US"/>
              </w:rPr>
            </w:pPr>
          </w:p>
        </w:tc>
        <w:tc>
          <w:tcPr>
            <w:tcW w:w="5670" w:type="dxa"/>
            <w:tcBorders>
              <w:top w:val="nil"/>
              <w:left w:val="nil"/>
              <w:bottom w:val="single" w:sz="8" w:space="0" w:color="auto"/>
              <w:right w:val="single" w:sz="4" w:space="0" w:color="auto"/>
            </w:tcBorders>
            <w:shd w:val="clear" w:color="000000" w:fill="D6E3BC"/>
            <w:vAlign w:val="center"/>
            <w:hideMark/>
          </w:tcPr>
          <w:p w14:paraId="1E630B06" w14:textId="77777777" w:rsidR="00D82767" w:rsidRPr="00D82767" w:rsidRDefault="00D82767" w:rsidP="00D82767">
            <w:pPr>
              <w:spacing w:after="0" w:line="240" w:lineRule="auto"/>
              <w:jc w:val="left"/>
              <w:rPr>
                <w:rFonts w:ascii="Calibri" w:eastAsia="Times New Roman" w:hAnsi="Calibri" w:cs="Calibri"/>
                <w:color w:val="000000"/>
                <w:lang w:val="en-US" w:eastAsia="en-US"/>
              </w:rPr>
            </w:pPr>
            <w:r w:rsidRPr="00D82767">
              <w:rPr>
                <w:rFonts w:ascii="Calibri" w:eastAsia="Times New Roman" w:hAnsi="Calibri" w:cs="Calibri"/>
                <w:color w:val="000000"/>
                <w:lang w:val="en-US" w:eastAsia="en-US"/>
              </w:rPr>
              <w:t>Removed reference to DSL ECHA ID; replaced with ECHA Substances List ID</w:t>
            </w:r>
            <w:r w:rsidRPr="00D82767">
              <w:rPr>
                <w:rFonts w:ascii="Calibri" w:eastAsia="Times New Roman" w:hAnsi="Calibri" w:cs="Calibri"/>
                <w:color w:val="000000"/>
                <w:lang w:val="en-US" w:eastAsia="en-US"/>
              </w:rPr>
              <w:br/>
              <w:t>-Upon substance Name change, lookups for EC Number and ECHA ID now come from ECHA Substance List tab.</w:t>
            </w:r>
            <w:r w:rsidRPr="00D82767">
              <w:rPr>
                <w:rFonts w:ascii="Calibri" w:eastAsia="Times New Roman" w:hAnsi="Calibri" w:cs="Calibri"/>
                <w:color w:val="000000"/>
                <w:lang w:val="en-US" w:eastAsia="en-US"/>
              </w:rPr>
              <w:br/>
              <w:t>-If substance Name is blank or not found on both tabs DSL and ECHA Substance List, clearing the Substance Identification section for that row.</w:t>
            </w:r>
          </w:p>
        </w:tc>
        <w:tc>
          <w:tcPr>
            <w:tcW w:w="1800" w:type="dxa"/>
            <w:vMerge/>
            <w:tcBorders>
              <w:top w:val="single" w:sz="8" w:space="0" w:color="auto"/>
              <w:left w:val="single" w:sz="4" w:space="0" w:color="auto"/>
              <w:bottom w:val="single" w:sz="8" w:space="0" w:color="000000"/>
              <w:right w:val="single" w:sz="8" w:space="0" w:color="auto"/>
            </w:tcBorders>
            <w:vAlign w:val="center"/>
            <w:hideMark/>
          </w:tcPr>
          <w:p w14:paraId="58AAAEFC" w14:textId="77777777" w:rsidR="00D82767" w:rsidRPr="00D82767" w:rsidRDefault="00D82767" w:rsidP="00D82767">
            <w:pPr>
              <w:spacing w:after="0" w:line="240" w:lineRule="auto"/>
              <w:jc w:val="left"/>
              <w:rPr>
                <w:rFonts w:ascii="Calibri" w:eastAsia="Times New Roman" w:hAnsi="Calibri" w:cs="Calibri"/>
                <w:color w:val="000000"/>
                <w:lang w:val="en-US" w:eastAsia="en-US"/>
              </w:rPr>
            </w:pPr>
          </w:p>
        </w:tc>
      </w:tr>
      <w:tr w:rsidR="00D82767" w:rsidRPr="00D82767" w14:paraId="6CA64A65" w14:textId="77777777" w:rsidTr="0095348C">
        <w:trPr>
          <w:trHeight w:val="288"/>
        </w:trPr>
        <w:tc>
          <w:tcPr>
            <w:tcW w:w="2420" w:type="dxa"/>
            <w:vMerge w:val="restart"/>
            <w:tcBorders>
              <w:top w:val="nil"/>
              <w:left w:val="single" w:sz="8" w:space="0" w:color="auto"/>
              <w:bottom w:val="single" w:sz="4" w:space="0" w:color="auto"/>
              <w:right w:val="single" w:sz="4" w:space="0" w:color="auto"/>
            </w:tcBorders>
            <w:shd w:val="clear" w:color="000000" w:fill="9BBB59"/>
            <w:vAlign w:val="center"/>
            <w:hideMark/>
          </w:tcPr>
          <w:p w14:paraId="71C9B432" w14:textId="77777777" w:rsidR="00D82767" w:rsidRPr="00D82767" w:rsidRDefault="00D82767" w:rsidP="00D82767">
            <w:pPr>
              <w:spacing w:after="0" w:line="240" w:lineRule="auto"/>
              <w:jc w:val="left"/>
              <w:rPr>
                <w:rFonts w:ascii="Calibri" w:eastAsia="Times New Roman" w:hAnsi="Calibri" w:cs="Calibri"/>
                <w:b/>
                <w:bCs/>
                <w:color w:val="000000"/>
                <w:lang w:val="en-US" w:eastAsia="en-US"/>
              </w:rPr>
            </w:pPr>
            <w:r w:rsidRPr="00D82767">
              <w:rPr>
                <w:rFonts w:ascii="Calibri" w:eastAsia="Times New Roman" w:hAnsi="Calibri" w:cs="Calibri"/>
                <w:b/>
                <w:bCs/>
                <w:color w:val="000000"/>
                <w:lang w:val="en-US" w:eastAsia="en-US"/>
              </w:rPr>
              <w:t>Substance-in-Process</w:t>
            </w:r>
          </w:p>
        </w:tc>
        <w:tc>
          <w:tcPr>
            <w:tcW w:w="5670" w:type="dxa"/>
            <w:tcBorders>
              <w:top w:val="nil"/>
              <w:left w:val="nil"/>
              <w:bottom w:val="single" w:sz="4" w:space="0" w:color="auto"/>
              <w:right w:val="single" w:sz="4" w:space="0" w:color="auto"/>
            </w:tcBorders>
            <w:shd w:val="clear" w:color="000000" w:fill="D6E3BC"/>
            <w:vAlign w:val="center"/>
            <w:hideMark/>
          </w:tcPr>
          <w:p w14:paraId="6212D34E" w14:textId="77777777" w:rsidR="00D82767" w:rsidRPr="00D82767" w:rsidRDefault="00D82767" w:rsidP="00D82767">
            <w:pPr>
              <w:spacing w:after="0" w:line="240" w:lineRule="auto"/>
              <w:jc w:val="left"/>
              <w:rPr>
                <w:rFonts w:ascii="Calibri" w:eastAsia="Times New Roman" w:hAnsi="Calibri" w:cs="Calibri"/>
                <w:color w:val="000000"/>
                <w:lang w:val="en-US" w:eastAsia="en-US"/>
              </w:rPr>
            </w:pPr>
            <w:r w:rsidRPr="00D82767">
              <w:rPr>
                <w:rFonts w:ascii="Calibri" w:eastAsia="Times New Roman" w:hAnsi="Calibri" w:cs="Calibri"/>
                <w:color w:val="000000"/>
                <w:lang w:val="en-US" w:eastAsia="en-US"/>
              </w:rPr>
              <w:t>Added "SCIP Substance Group" field.</w:t>
            </w:r>
          </w:p>
        </w:tc>
        <w:tc>
          <w:tcPr>
            <w:tcW w:w="1800" w:type="dxa"/>
            <w:vMerge w:val="restart"/>
            <w:tcBorders>
              <w:top w:val="nil"/>
              <w:left w:val="single" w:sz="4" w:space="0" w:color="auto"/>
              <w:bottom w:val="single" w:sz="8" w:space="0" w:color="000000"/>
              <w:right w:val="single" w:sz="8" w:space="0" w:color="auto"/>
            </w:tcBorders>
            <w:shd w:val="clear" w:color="000000" w:fill="D6E3BC"/>
            <w:vAlign w:val="center"/>
            <w:hideMark/>
          </w:tcPr>
          <w:p w14:paraId="07413BF8" w14:textId="77777777" w:rsidR="00D82767" w:rsidRPr="00D82767" w:rsidRDefault="00D82767" w:rsidP="00D82767">
            <w:pPr>
              <w:spacing w:after="0" w:line="240" w:lineRule="auto"/>
              <w:jc w:val="left"/>
              <w:rPr>
                <w:rFonts w:ascii="Calibri" w:eastAsia="Times New Roman" w:hAnsi="Calibri" w:cs="Calibri"/>
                <w:color w:val="000000"/>
                <w:lang w:val="en-US" w:eastAsia="en-US"/>
              </w:rPr>
            </w:pPr>
            <w:r w:rsidRPr="00D82767">
              <w:rPr>
                <w:rFonts w:ascii="Calibri" w:eastAsia="Times New Roman" w:hAnsi="Calibri" w:cs="Calibri"/>
                <w:color w:val="000000"/>
                <w:lang w:val="en-US" w:eastAsia="en-US"/>
              </w:rPr>
              <w:t>Compatibility to IPC-1754 AM2 MR189, MR190</w:t>
            </w:r>
          </w:p>
        </w:tc>
      </w:tr>
      <w:tr w:rsidR="00D82767" w:rsidRPr="00D82767" w14:paraId="76359414" w14:textId="77777777" w:rsidTr="0095348C">
        <w:trPr>
          <w:trHeight w:val="582"/>
        </w:trPr>
        <w:tc>
          <w:tcPr>
            <w:tcW w:w="2420" w:type="dxa"/>
            <w:vMerge/>
            <w:tcBorders>
              <w:top w:val="nil"/>
              <w:left w:val="single" w:sz="8" w:space="0" w:color="auto"/>
              <w:bottom w:val="single" w:sz="4" w:space="0" w:color="auto"/>
              <w:right w:val="single" w:sz="4" w:space="0" w:color="auto"/>
            </w:tcBorders>
            <w:vAlign w:val="center"/>
            <w:hideMark/>
          </w:tcPr>
          <w:p w14:paraId="4280F276" w14:textId="77777777" w:rsidR="00D82767" w:rsidRPr="00D82767" w:rsidRDefault="00D82767" w:rsidP="00D82767">
            <w:pPr>
              <w:spacing w:after="0" w:line="240" w:lineRule="auto"/>
              <w:jc w:val="left"/>
              <w:rPr>
                <w:rFonts w:ascii="Calibri" w:eastAsia="Times New Roman" w:hAnsi="Calibri" w:cs="Calibri"/>
                <w:b/>
                <w:bCs/>
                <w:color w:val="000000"/>
                <w:lang w:val="en-US" w:eastAsia="en-US"/>
              </w:rPr>
            </w:pPr>
          </w:p>
        </w:tc>
        <w:tc>
          <w:tcPr>
            <w:tcW w:w="5670" w:type="dxa"/>
            <w:tcBorders>
              <w:top w:val="nil"/>
              <w:left w:val="nil"/>
              <w:bottom w:val="single" w:sz="4" w:space="0" w:color="auto"/>
              <w:right w:val="single" w:sz="4" w:space="0" w:color="auto"/>
            </w:tcBorders>
            <w:shd w:val="clear" w:color="000000" w:fill="D6E3BC"/>
            <w:vAlign w:val="center"/>
            <w:hideMark/>
          </w:tcPr>
          <w:p w14:paraId="67E276C0" w14:textId="77777777" w:rsidR="00D82767" w:rsidRPr="00D82767" w:rsidRDefault="00D82767" w:rsidP="00D82767">
            <w:pPr>
              <w:spacing w:after="0" w:line="240" w:lineRule="auto"/>
              <w:jc w:val="left"/>
              <w:rPr>
                <w:rFonts w:ascii="Calibri" w:eastAsia="Times New Roman" w:hAnsi="Calibri" w:cs="Calibri"/>
                <w:color w:val="000000"/>
                <w:lang w:val="en-US" w:eastAsia="en-US"/>
              </w:rPr>
            </w:pPr>
            <w:r w:rsidRPr="00D82767">
              <w:rPr>
                <w:rFonts w:ascii="Calibri" w:eastAsia="Times New Roman" w:hAnsi="Calibri" w:cs="Calibri"/>
                <w:color w:val="000000"/>
                <w:lang w:val="en-US" w:eastAsia="en-US"/>
              </w:rPr>
              <w:t>Edited code to automatically enter the correct value in "SCIP Substance Group"</w:t>
            </w:r>
          </w:p>
        </w:tc>
        <w:tc>
          <w:tcPr>
            <w:tcW w:w="1800" w:type="dxa"/>
            <w:vMerge/>
            <w:tcBorders>
              <w:top w:val="nil"/>
              <w:left w:val="single" w:sz="4" w:space="0" w:color="auto"/>
              <w:bottom w:val="single" w:sz="8" w:space="0" w:color="000000"/>
              <w:right w:val="single" w:sz="8" w:space="0" w:color="auto"/>
            </w:tcBorders>
            <w:vAlign w:val="center"/>
            <w:hideMark/>
          </w:tcPr>
          <w:p w14:paraId="75F29470" w14:textId="77777777" w:rsidR="00D82767" w:rsidRPr="00D82767" w:rsidRDefault="00D82767" w:rsidP="00D82767">
            <w:pPr>
              <w:spacing w:after="0" w:line="240" w:lineRule="auto"/>
              <w:jc w:val="left"/>
              <w:rPr>
                <w:rFonts w:ascii="Calibri" w:eastAsia="Times New Roman" w:hAnsi="Calibri" w:cs="Calibri"/>
                <w:color w:val="000000"/>
                <w:lang w:val="en-US" w:eastAsia="en-US"/>
              </w:rPr>
            </w:pPr>
          </w:p>
        </w:tc>
      </w:tr>
      <w:tr w:rsidR="00D82767" w:rsidRPr="00D82767" w14:paraId="0A1F99DC" w14:textId="77777777" w:rsidTr="0095348C">
        <w:trPr>
          <w:trHeight w:val="582"/>
        </w:trPr>
        <w:tc>
          <w:tcPr>
            <w:tcW w:w="2420" w:type="dxa"/>
            <w:vMerge/>
            <w:tcBorders>
              <w:top w:val="nil"/>
              <w:left w:val="single" w:sz="8" w:space="0" w:color="auto"/>
              <w:bottom w:val="single" w:sz="4" w:space="0" w:color="auto"/>
              <w:right w:val="single" w:sz="4" w:space="0" w:color="auto"/>
            </w:tcBorders>
            <w:vAlign w:val="center"/>
            <w:hideMark/>
          </w:tcPr>
          <w:p w14:paraId="007ECC2A" w14:textId="77777777" w:rsidR="00D82767" w:rsidRPr="00D82767" w:rsidRDefault="00D82767" w:rsidP="00D82767">
            <w:pPr>
              <w:spacing w:after="0" w:line="240" w:lineRule="auto"/>
              <w:jc w:val="left"/>
              <w:rPr>
                <w:rFonts w:ascii="Calibri" w:eastAsia="Times New Roman" w:hAnsi="Calibri" w:cs="Calibri"/>
                <w:b/>
                <w:bCs/>
                <w:color w:val="000000"/>
                <w:lang w:val="en-US" w:eastAsia="en-US"/>
              </w:rPr>
            </w:pPr>
          </w:p>
        </w:tc>
        <w:tc>
          <w:tcPr>
            <w:tcW w:w="5670" w:type="dxa"/>
            <w:tcBorders>
              <w:top w:val="nil"/>
              <w:left w:val="nil"/>
              <w:bottom w:val="single" w:sz="4" w:space="0" w:color="auto"/>
              <w:right w:val="single" w:sz="4" w:space="0" w:color="auto"/>
            </w:tcBorders>
            <w:shd w:val="clear" w:color="000000" w:fill="D6E3BC"/>
            <w:vAlign w:val="center"/>
            <w:hideMark/>
          </w:tcPr>
          <w:p w14:paraId="1B6B1557" w14:textId="77777777" w:rsidR="00D82767" w:rsidRPr="00D82767" w:rsidRDefault="00D82767" w:rsidP="00D82767">
            <w:pPr>
              <w:spacing w:after="0" w:line="240" w:lineRule="auto"/>
              <w:jc w:val="left"/>
              <w:rPr>
                <w:rFonts w:ascii="Calibri" w:eastAsia="Times New Roman" w:hAnsi="Calibri" w:cs="Calibri"/>
                <w:color w:val="000000"/>
                <w:lang w:val="en-US" w:eastAsia="en-US"/>
              </w:rPr>
            </w:pPr>
            <w:r w:rsidRPr="00D82767">
              <w:rPr>
                <w:rFonts w:ascii="Calibri" w:eastAsia="Times New Roman" w:hAnsi="Calibri" w:cs="Calibri"/>
                <w:color w:val="000000"/>
                <w:lang w:val="en-US" w:eastAsia="en-US"/>
              </w:rPr>
              <w:t>Removed "SCIP" reference from "SCIP Substance Group" field.</w:t>
            </w:r>
          </w:p>
        </w:tc>
        <w:tc>
          <w:tcPr>
            <w:tcW w:w="1800" w:type="dxa"/>
            <w:vMerge/>
            <w:tcBorders>
              <w:top w:val="nil"/>
              <w:left w:val="single" w:sz="4" w:space="0" w:color="auto"/>
              <w:bottom w:val="single" w:sz="8" w:space="0" w:color="000000"/>
              <w:right w:val="single" w:sz="8" w:space="0" w:color="auto"/>
            </w:tcBorders>
            <w:vAlign w:val="center"/>
            <w:hideMark/>
          </w:tcPr>
          <w:p w14:paraId="761E7947" w14:textId="77777777" w:rsidR="00D82767" w:rsidRPr="00D82767" w:rsidRDefault="00D82767" w:rsidP="00D82767">
            <w:pPr>
              <w:spacing w:after="0" w:line="240" w:lineRule="auto"/>
              <w:jc w:val="left"/>
              <w:rPr>
                <w:rFonts w:ascii="Calibri" w:eastAsia="Times New Roman" w:hAnsi="Calibri" w:cs="Calibri"/>
                <w:color w:val="000000"/>
                <w:lang w:val="en-US" w:eastAsia="en-US"/>
              </w:rPr>
            </w:pPr>
          </w:p>
        </w:tc>
      </w:tr>
      <w:tr w:rsidR="00D82767" w:rsidRPr="00D82767" w14:paraId="333AF4EE" w14:textId="77777777" w:rsidTr="0095348C">
        <w:trPr>
          <w:trHeight w:val="1446"/>
        </w:trPr>
        <w:tc>
          <w:tcPr>
            <w:tcW w:w="2420" w:type="dxa"/>
            <w:vMerge/>
            <w:tcBorders>
              <w:top w:val="nil"/>
              <w:left w:val="single" w:sz="8" w:space="0" w:color="auto"/>
              <w:bottom w:val="single" w:sz="4" w:space="0" w:color="auto"/>
              <w:right w:val="single" w:sz="4" w:space="0" w:color="auto"/>
            </w:tcBorders>
            <w:vAlign w:val="center"/>
            <w:hideMark/>
          </w:tcPr>
          <w:p w14:paraId="795E4EEE" w14:textId="77777777" w:rsidR="00D82767" w:rsidRPr="00D82767" w:rsidRDefault="00D82767" w:rsidP="00D82767">
            <w:pPr>
              <w:spacing w:after="0" w:line="240" w:lineRule="auto"/>
              <w:jc w:val="left"/>
              <w:rPr>
                <w:rFonts w:ascii="Calibri" w:eastAsia="Times New Roman" w:hAnsi="Calibri" w:cs="Calibri"/>
                <w:b/>
                <w:bCs/>
                <w:color w:val="000000"/>
                <w:lang w:val="en-US" w:eastAsia="en-US"/>
              </w:rPr>
            </w:pPr>
          </w:p>
        </w:tc>
        <w:tc>
          <w:tcPr>
            <w:tcW w:w="5670" w:type="dxa"/>
            <w:tcBorders>
              <w:top w:val="nil"/>
              <w:left w:val="nil"/>
              <w:bottom w:val="single" w:sz="8" w:space="0" w:color="auto"/>
              <w:right w:val="single" w:sz="4" w:space="0" w:color="auto"/>
            </w:tcBorders>
            <w:shd w:val="clear" w:color="000000" w:fill="D6E3BC"/>
            <w:vAlign w:val="center"/>
            <w:hideMark/>
          </w:tcPr>
          <w:p w14:paraId="320701A3" w14:textId="77777777" w:rsidR="00D82767" w:rsidRPr="00D82767" w:rsidRDefault="00D82767" w:rsidP="00D82767">
            <w:pPr>
              <w:spacing w:after="0" w:line="240" w:lineRule="auto"/>
              <w:jc w:val="left"/>
              <w:rPr>
                <w:rFonts w:ascii="Calibri" w:eastAsia="Times New Roman" w:hAnsi="Calibri" w:cs="Calibri"/>
                <w:color w:val="000000"/>
                <w:lang w:val="en-US" w:eastAsia="en-US"/>
              </w:rPr>
            </w:pPr>
            <w:r w:rsidRPr="00D82767">
              <w:rPr>
                <w:rFonts w:ascii="Calibri" w:eastAsia="Times New Roman" w:hAnsi="Calibri" w:cs="Calibri"/>
                <w:color w:val="000000"/>
                <w:lang w:val="en-US" w:eastAsia="en-US"/>
              </w:rPr>
              <w:t>Removed reference to DSL ECHA ID; replaced with ECHA Substances List ID</w:t>
            </w:r>
            <w:r w:rsidRPr="00D82767">
              <w:rPr>
                <w:rFonts w:ascii="Calibri" w:eastAsia="Times New Roman" w:hAnsi="Calibri" w:cs="Calibri"/>
                <w:color w:val="000000"/>
                <w:lang w:val="en-US" w:eastAsia="en-US"/>
              </w:rPr>
              <w:br/>
              <w:t>-Upon substance Name change, lookups for EC Number and ECHA ID now come from ECHA Substance List tab.</w:t>
            </w:r>
            <w:r w:rsidRPr="00D82767">
              <w:rPr>
                <w:rFonts w:ascii="Calibri" w:eastAsia="Times New Roman" w:hAnsi="Calibri" w:cs="Calibri"/>
                <w:color w:val="000000"/>
                <w:lang w:val="en-US" w:eastAsia="en-US"/>
              </w:rPr>
              <w:br/>
              <w:t>-If substance Name is blank or not found on both tabs DSL and ECHA Substance List, clearing the Substance Identification section for that row.</w:t>
            </w:r>
          </w:p>
        </w:tc>
        <w:tc>
          <w:tcPr>
            <w:tcW w:w="1800" w:type="dxa"/>
            <w:vMerge/>
            <w:tcBorders>
              <w:top w:val="nil"/>
              <w:left w:val="single" w:sz="4" w:space="0" w:color="auto"/>
              <w:bottom w:val="single" w:sz="8" w:space="0" w:color="000000"/>
              <w:right w:val="single" w:sz="8" w:space="0" w:color="auto"/>
            </w:tcBorders>
            <w:vAlign w:val="center"/>
            <w:hideMark/>
          </w:tcPr>
          <w:p w14:paraId="51D6A9BF" w14:textId="77777777" w:rsidR="00D82767" w:rsidRPr="00D82767" w:rsidRDefault="00D82767" w:rsidP="00D82767">
            <w:pPr>
              <w:spacing w:after="0" w:line="240" w:lineRule="auto"/>
              <w:jc w:val="left"/>
              <w:rPr>
                <w:rFonts w:ascii="Calibri" w:eastAsia="Times New Roman" w:hAnsi="Calibri" w:cs="Calibri"/>
                <w:color w:val="000000"/>
                <w:lang w:val="en-US" w:eastAsia="en-US"/>
              </w:rPr>
            </w:pPr>
          </w:p>
        </w:tc>
      </w:tr>
      <w:tr w:rsidR="0095348C" w:rsidRPr="0095348C" w14:paraId="5315F4CB" w14:textId="77777777" w:rsidTr="0095348C">
        <w:trPr>
          <w:trHeight w:val="700"/>
        </w:trPr>
        <w:tc>
          <w:tcPr>
            <w:tcW w:w="2420" w:type="dxa"/>
            <w:vMerge w:val="restart"/>
            <w:tcBorders>
              <w:top w:val="nil"/>
              <w:left w:val="single" w:sz="8" w:space="0" w:color="auto"/>
              <w:bottom w:val="single" w:sz="4" w:space="0" w:color="auto"/>
              <w:right w:val="single" w:sz="4" w:space="0" w:color="auto"/>
            </w:tcBorders>
            <w:shd w:val="clear" w:color="000000" w:fill="9BBB59"/>
            <w:vAlign w:val="center"/>
            <w:hideMark/>
          </w:tcPr>
          <w:p w14:paraId="37A0811D" w14:textId="77777777" w:rsidR="0095348C" w:rsidRPr="0095348C" w:rsidRDefault="0095348C" w:rsidP="0095348C">
            <w:pPr>
              <w:spacing w:after="0" w:line="240" w:lineRule="auto"/>
              <w:jc w:val="left"/>
              <w:rPr>
                <w:rFonts w:ascii="Calibri" w:eastAsia="Times New Roman" w:hAnsi="Calibri" w:cs="Calibri"/>
                <w:b/>
                <w:bCs/>
                <w:color w:val="000000"/>
                <w:lang w:val="en-US" w:eastAsia="en-US"/>
              </w:rPr>
            </w:pPr>
            <w:r w:rsidRPr="0095348C">
              <w:rPr>
                <w:rFonts w:ascii="Calibri" w:eastAsia="Times New Roman" w:hAnsi="Calibri" w:cs="Calibri"/>
                <w:b/>
                <w:bCs/>
                <w:color w:val="000000"/>
                <w:lang w:val="en-US" w:eastAsia="en-US"/>
              </w:rPr>
              <w:t xml:space="preserve">Attachment </w:t>
            </w:r>
          </w:p>
        </w:tc>
        <w:tc>
          <w:tcPr>
            <w:tcW w:w="5670" w:type="dxa"/>
            <w:tcBorders>
              <w:top w:val="nil"/>
              <w:left w:val="nil"/>
              <w:bottom w:val="single" w:sz="8" w:space="0" w:color="auto"/>
              <w:right w:val="single" w:sz="4" w:space="0" w:color="auto"/>
            </w:tcBorders>
            <w:shd w:val="clear" w:color="000000" w:fill="D6E3BC"/>
            <w:vAlign w:val="center"/>
            <w:hideMark/>
          </w:tcPr>
          <w:p w14:paraId="23860A35"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Item #1 in header, changed "Products" to "Product"</w:t>
            </w:r>
          </w:p>
        </w:tc>
        <w:tc>
          <w:tcPr>
            <w:tcW w:w="1800" w:type="dxa"/>
            <w:vMerge w:val="restart"/>
            <w:tcBorders>
              <w:top w:val="nil"/>
              <w:left w:val="single" w:sz="4" w:space="0" w:color="auto"/>
              <w:bottom w:val="single" w:sz="8" w:space="0" w:color="000000"/>
              <w:right w:val="single" w:sz="8" w:space="0" w:color="auto"/>
            </w:tcBorders>
            <w:shd w:val="clear" w:color="000000" w:fill="D6E3BC"/>
            <w:vAlign w:val="center"/>
            <w:hideMark/>
          </w:tcPr>
          <w:p w14:paraId="68425078"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 xml:space="preserve">Corrections </w:t>
            </w:r>
          </w:p>
        </w:tc>
      </w:tr>
      <w:tr w:rsidR="0095348C" w:rsidRPr="0095348C" w14:paraId="60B0BDF6" w14:textId="77777777" w:rsidTr="0095348C">
        <w:trPr>
          <w:trHeight w:val="790"/>
        </w:trPr>
        <w:tc>
          <w:tcPr>
            <w:tcW w:w="2420" w:type="dxa"/>
            <w:vMerge w:val="restart"/>
            <w:tcBorders>
              <w:top w:val="nil"/>
              <w:left w:val="single" w:sz="8" w:space="0" w:color="auto"/>
              <w:bottom w:val="single" w:sz="4" w:space="0" w:color="auto"/>
              <w:right w:val="single" w:sz="4" w:space="0" w:color="auto"/>
            </w:tcBorders>
            <w:shd w:val="clear" w:color="000000" w:fill="9BBB59"/>
            <w:vAlign w:val="center"/>
            <w:hideMark/>
          </w:tcPr>
          <w:p w14:paraId="0C5CEA7D" w14:textId="77777777" w:rsidR="0095348C" w:rsidRPr="0095348C" w:rsidRDefault="0095348C" w:rsidP="0095348C">
            <w:pPr>
              <w:spacing w:after="0" w:line="240" w:lineRule="auto"/>
              <w:jc w:val="left"/>
              <w:rPr>
                <w:rFonts w:ascii="Calibri" w:eastAsia="Times New Roman" w:hAnsi="Calibri" w:cs="Calibri"/>
                <w:b/>
                <w:bCs/>
                <w:color w:val="000000"/>
                <w:lang w:val="en-US" w:eastAsia="en-US"/>
              </w:rPr>
            </w:pPr>
            <w:r w:rsidRPr="0095348C">
              <w:rPr>
                <w:rFonts w:ascii="Calibri" w:eastAsia="Times New Roman" w:hAnsi="Calibri" w:cs="Calibri"/>
                <w:b/>
                <w:bCs/>
                <w:color w:val="000000"/>
                <w:lang w:val="en-US" w:eastAsia="en-US"/>
              </w:rPr>
              <w:t>Supplier Acceptance</w:t>
            </w:r>
          </w:p>
        </w:tc>
        <w:tc>
          <w:tcPr>
            <w:tcW w:w="5670" w:type="dxa"/>
            <w:tcBorders>
              <w:top w:val="nil"/>
              <w:left w:val="nil"/>
              <w:bottom w:val="single" w:sz="8" w:space="0" w:color="auto"/>
              <w:right w:val="single" w:sz="4" w:space="0" w:color="auto"/>
            </w:tcBorders>
            <w:shd w:val="clear" w:color="000000" w:fill="D6E3BC"/>
            <w:vAlign w:val="center"/>
            <w:hideMark/>
          </w:tcPr>
          <w:p w14:paraId="639C6F9C"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Defaulted "Authorizer Acceptance" field to "Yes" and continue to allow user to select "Yes" or "No"</w:t>
            </w:r>
          </w:p>
        </w:tc>
        <w:tc>
          <w:tcPr>
            <w:tcW w:w="1800" w:type="dxa"/>
            <w:vMerge w:val="restart"/>
            <w:tcBorders>
              <w:top w:val="nil"/>
              <w:left w:val="single" w:sz="4" w:space="0" w:color="auto"/>
              <w:bottom w:val="single" w:sz="8" w:space="0" w:color="000000"/>
              <w:right w:val="single" w:sz="8" w:space="0" w:color="auto"/>
            </w:tcBorders>
            <w:shd w:val="clear" w:color="000000" w:fill="D6E3BC"/>
            <w:vAlign w:val="center"/>
            <w:hideMark/>
          </w:tcPr>
          <w:p w14:paraId="0372A857"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Compatibility to IPC-1754 AM2 MR189</w:t>
            </w:r>
          </w:p>
        </w:tc>
      </w:tr>
      <w:tr w:rsidR="0095348C" w:rsidRPr="0095348C" w14:paraId="5F667B87" w14:textId="77777777" w:rsidTr="0095348C">
        <w:trPr>
          <w:trHeight w:val="673"/>
        </w:trPr>
        <w:tc>
          <w:tcPr>
            <w:tcW w:w="2420" w:type="dxa"/>
            <w:vMerge/>
            <w:tcBorders>
              <w:top w:val="nil"/>
              <w:left w:val="single" w:sz="8" w:space="0" w:color="auto"/>
              <w:bottom w:val="single" w:sz="4" w:space="0" w:color="auto"/>
              <w:right w:val="single" w:sz="4" w:space="0" w:color="auto"/>
            </w:tcBorders>
            <w:vAlign w:val="center"/>
            <w:hideMark/>
          </w:tcPr>
          <w:p w14:paraId="77747495" w14:textId="77777777" w:rsidR="0095348C" w:rsidRPr="0095348C" w:rsidRDefault="0095348C" w:rsidP="0095348C">
            <w:pPr>
              <w:spacing w:after="0" w:line="240" w:lineRule="auto"/>
              <w:jc w:val="left"/>
              <w:rPr>
                <w:rFonts w:ascii="Calibri" w:eastAsia="Times New Roman" w:hAnsi="Calibri" w:cs="Calibri"/>
                <w:b/>
                <w:bCs/>
                <w:color w:val="000000"/>
                <w:lang w:val="en-US" w:eastAsia="en-US"/>
              </w:rPr>
            </w:pPr>
          </w:p>
        </w:tc>
        <w:tc>
          <w:tcPr>
            <w:tcW w:w="5670" w:type="dxa"/>
            <w:tcBorders>
              <w:top w:val="nil"/>
              <w:left w:val="nil"/>
              <w:bottom w:val="single" w:sz="8" w:space="0" w:color="auto"/>
              <w:right w:val="single" w:sz="4" w:space="0" w:color="auto"/>
            </w:tcBorders>
            <w:shd w:val="clear" w:color="000000" w:fill="D6E3BC"/>
            <w:vAlign w:val="center"/>
            <w:hideMark/>
          </w:tcPr>
          <w:p w14:paraId="49A97FC0"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 xml:space="preserve">Edited code to validate correct fields with the new fields included. Added partial validation for </w:t>
            </w:r>
            <w:proofErr w:type="spellStart"/>
            <w:r w:rsidRPr="0095348C">
              <w:rPr>
                <w:rFonts w:ascii="Calibri" w:eastAsia="Times New Roman" w:hAnsi="Calibri" w:cs="Calibri"/>
                <w:color w:val="000000"/>
                <w:lang w:val="en-US" w:eastAsia="en-US"/>
              </w:rPr>
              <w:t>Taric</w:t>
            </w:r>
            <w:proofErr w:type="spellEnd"/>
            <w:r w:rsidRPr="0095348C">
              <w:rPr>
                <w:rFonts w:ascii="Calibri" w:eastAsia="Times New Roman" w:hAnsi="Calibri" w:cs="Calibri"/>
                <w:color w:val="000000"/>
                <w:lang w:val="en-US" w:eastAsia="en-US"/>
              </w:rPr>
              <w:t xml:space="preserve"> Codes.</w:t>
            </w:r>
          </w:p>
        </w:tc>
        <w:tc>
          <w:tcPr>
            <w:tcW w:w="1800" w:type="dxa"/>
            <w:vMerge/>
            <w:tcBorders>
              <w:top w:val="nil"/>
              <w:left w:val="single" w:sz="4" w:space="0" w:color="auto"/>
              <w:bottom w:val="single" w:sz="8" w:space="0" w:color="000000"/>
              <w:right w:val="single" w:sz="8" w:space="0" w:color="auto"/>
            </w:tcBorders>
            <w:vAlign w:val="center"/>
            <w:hideMark/>
          </w:tcPr>
          <w:p w14:paraId="0696B9E7"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p>
        </w:tc>
      </w:tr>
      <w:tr w:rsidR="0095348C" w:rsidRPr="0095348C" w14:paraId="7920ADA6" w14:textId="77777777" w:rsidTr="0095348C">
        <w:trPr>
          <w:trHeight w:val="538"/>
        </w:trPr>
        <w:tc>
          <w:tcPr>
            <w:tcW w:w="2420" w:type="dxa"/>
            <w:vMerge w:val="restart"/>
            <w:tcBorders>
              <w:top w:val="nil"/>
              <w:left w:val="single" w:sz="8" w:space="0" w:color="auto"/>
              <w:bottom w:val="single" w:sz="4" w:space="0" w:color="auto"/>
              <w:right w:val="single" w:sz="4" w:space="0" w:color="auto"/>
            </w:tcBorders>
            <w:shd w:val="clear" w:color="000000" w:fill="9BBB59"/>
            <w:vAlign w:val="center"/>
            <w:hideMark/>
          </w:tcPr>
          <w:p w14:paraId="799DD51D" w14:textId="77777777" w:rsidR="0095348C" w:rsidRPr="0095348C" w:rsidRDefault="0095348C" w:rsidP="0095348C">
            <w:pPr>
              <w:spacing w:after="0" w:line="240" w:lineRule="auto"/>
              <w:jc w:val="left"/>
              <w:rPr>
                <w:rFonts w:ascii="Calibri" w:eastAsia="Times New Roman" w:hAnsi="Calibri" w:cs="Calibri"/>
                <w:b/>
                <w:bCs/>
                <w:color w:val="000000"/>
                <w:lang w:val="en-US" w:eastAsia="en-US"/>
              </w:rPr>
            </w:pPr>
            <w:r w:rsidRPr="0095348C">
              <w:rPr>
                <w:rFonts w:ascii="Calibri" w:eastAsia="Times New Roman" w:hAnsi="Calibri" w:cs="Calibri"/>
                <w:b/>
                <w:bCs/>
                <w:color w:val="000000"/>
                <w:lang w:val="en-US" w:eastAsia="en-US"/>
              </w:rPr>
              <w:t>Additional Category</w:t>
            </w:r>
          </w:p>
        </w:tc>
        <w:tc>
          <w:tcPr>
            <w:tcW w:w="5670" w:type="dxa"/>
            <w:tcBorders>
              <w:top w:val="nil"/>
              <w:left w:val="nil"/>
              <w:bottom w:val="single" w:sz="8" w:space="0" w:color="auto"/>
              <w:right w:val="single" w:sz="4" w:space="0" w:color="auto"/>
            </w:tcBorders>
            <w:shd w:val="clear" w:color="000000" w:fill="D6E3BC"/>
            <w:vAlign w:val="center"/>
            <w:hideMark/>
          </w:tcPr>
          <w:p w14:paraId="3705A908"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Update picklist data to revision 2.0 and update version control grid to include link to the data source</w:t>
            </w:r>
          </w:p>
        </w:tc>
        <w:tc>
          <w:tcPr>
            <w:tcW w:w="1800" w:type="dxa"/>
            <w:vMerge w:val="restart"/>
            <w:tcBorders>
              <w:top w:val="nil"/>
              <w:left w:val="single" w:sz="4" w:space="0" w:color="auto"/>
              <w:bottom w:val="single" w:sz="8" w:space="0" w:color="000000"/>
              <w:right w:val="single" w:sz="8" w:space="0" w:color="auto"/>
            </w:tcBorders>
            <w:shd w:val="clear" w:color="000000" w:fill="D6E3BC"/>
            <w:vAlign w:val="center"/>
            <w:hideMark/>
          </w:tcPr>
          <w:p w14:paraId="6F32562B"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Compatibility to IPC-1754 AM2 MR189</w:t>
            </w:r>
          </w:p>
        </w:tc>
      </w:tr>
      <w:tr w:rsidR="0095348C" w:rsidRPr="0095348C" w14:paraId="0B4B436E" w14:textId="77777777" w:rsidTr="0095348C">
        <w:trPr>
          <w:trHeight w:val="700"/>
        </w:trPr>
        <w:tc>
          <w:tcPr>
            <w:tcW w:w="2420" w:type="dxa"/>
            <w:vMerge w:val="restart"/>
            <w:tcBorders>
              <w:top w:val="nil"/>
              <w:left w:val="single" w:sz="8" w:space="0" w:color="auto"/>
              <w:bottom w:val="single" w:sz="4" w:space="0" w:color="auto"/>
              <w:right w:val="single" w:sz="4" w:space="0" w:color="auto"/>
            </w:tcBorders>
            <w:shd w:val="clear" w:color="000000" w:fill="9BBB59"/>
            <w:vAlign w:val="center"/>
            <w:hideMark/>
          </w:tcPr>
          <w:p w14:paraId="75B2A739" w14:textId="77777777" w:rsidR="0095348C" w:rsidRPr="0095348C" w:rsidRDefault="0095348C" w:rsidP="0095348C">
            <w:pPr>
              <w:spacing w:after="0" w:line="240" w:lineRule="auto"/>
              <w:jc w:val="left"/>
              <w:rPr>
                <w:rFonts w:ascii="Calibri" w:eastAsia="Times New Roman" w:hAnsi="Calibri" w:cs="Calibri"/>
                <w:b/>
                <w:bCs/>
                <w:color w:val="000000"/>
                <w:lang w:val="en-US" w:eastAsia="en-US"/>
              </w:rPr>
            </w:pPr>
            <w:r w:rsidRPr="0095348C">
              <w:rPr>
                <w:rFonts w:ascii="Calibri" w:eastAsia="Times New Roman" w:hAnsi="Calibri" w:cs="Calibri"/>
                <w:b/>
                <w:bCs/>
                <w:color w:val="000000"/>
                <w:lang w:val="en-US" w:eastAsia="en-US"/>
              </w:rPr>
              <w:t>ECHA Substance List</w:t>
            </w:r>
          </w:p>
        </w:tc>
        <w:tc>
          <w:tcPr>
            <w:tcW w:w="5670" w:type="dxa"/>
            <w:tcBorders>
              <w:top w:val="nil"/>
              <w:left w:val="nil"/>
              <w:bottom w:val="single" w:sz="8" w:space="0" w:color="auto"/>
              <w:right w:val="single" w:sz="4" w:space="0" w:color="auto"/>
            </w:tcBorders>
            <w:shd w:val="clear" w:color="000000" w:fill="D6E3BC"/>
            <w:vAlign w:val="center"/>
            <w:hideMark/>
          </w:tcPr>
          <w:p w14:paraId="61C62187"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Added tab from List_of_reference_substances_V_2020-1.xlsx</w:t>
            </w:r>
          </w:p>
        </w:tc>
        <w:tc>
          <w:tcPr>
            <w:tcW w:w="1800" w:type="dxa"/>
            <w:vMerge w:val="restart"/>
            <w:tcBorders>
              <w:top w:val="nil"/>
              <w:left w:val="single" w:sz="4" w:space="0" w:color="auto"/>
              <w:bottom w:val="single" w:sz="8" w:space="0" w:color="000000"/>
              <w:right w:val="single" w:sz="8" w:space="0" w:color="auto"/>
            </w:tcBorders>
            <w:shd w:val="clear" w:color="000000" w:fill="D6E3BC"/>
            <w:vAlign w:val="center"/>
            <w:hideMark/>
          </w:tcPr>
          <w:p w14:paraId="09012092"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 xml:space="preserve">ECHA ID Alignment </w:t>
            </w:r>
          </w:p>
        </w:tc>
      </w:tr>
      <w:tr w:rsidR="0095348C" w:rsidRPr="0095348C" w14:paraId="7462B4E4" w14:textId="77777777" w:rsidTr="0095348C">
        <w:trPr>
          <w:trHeight w:val="790"/>
        </w:trPr>
        <w:tc>
          <w:tcPr>
            <w:tcW w:w="2420" w:type="dxa"/>
            <w:vMerge/>
            <w:tcBorders>
              <w:top w:val="nil"/>
              <w:left w:val="single" w:sz="8" w:space="0" w:color="auto"/>
              <w:bottom w:val="single" w:sz="4" w:space="0" w:color="auto"/>
              <w:right w:val="single" w:sz="4" w:space="0" w:color="auto"/>
            </w:tcBorders>
            <w:vAlign w:val="center"/>
            <w:hideMark/>
          </w:tcPr>
          <w:p w14:paraId="616683E3" w14:textId="77777777" w:rsidR="0095348C" w:rsidRPr="0095348C" w:rsidRDefault="0095348C" w:rsidP="0095348C">
            <w:pPr>
              <w:spacing w:after="0" w:line="240" w:lineRule="auto"/>
              <w:jc w:val="left"/>
              <w:rPr>
                <w:rFonts w:ascii="Calibri" w:eastAsia="Times New Roman" w:hAnsi="Calibri" w:cs="Calibri"/>
                <w:b/>
                <w:bCs/>
                <w:color w:val="000000"/>
                <w:lang w:val="en-US" w:eastAsia="en-US"/>
              </w:rPr>
            </w:pPr>
          </w:p>
        </w:tc>
        <w:tc>
          <w:tcPr>
            <w:tcW w:w="5670" w:type="dxa"/>
            <w:tcBorders>
              <w:top w:val="nil"/>
              <w:left w:val="nil"/>
              <w:bottom w:val="single" w:sz="8" w:space="0" w:color="auto"/>
              <w:right w:val="single" w:sz="4" w:space="0" w:color="auto"/>
            </w:tcBorders>
            <w:shd w:val="clear" w:color="000000" w:fill="D6E3BC"/>
            <w:vAlign w:val="center"/>
            <w:hideMark/>
          </w:tcPr>
          <w:p w14:paraId="34DE8CC2"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Update picklist data to revision 2.0 and update version control grid to include link to the data source</w:t>
            </w:r>
          </w:p>
        </w:tc>
        <w:tc>
          <w:tcPr>
            <w:tcW w:w="1800" w:type="dxa"/>
            <w:vMerge/>
            <w:tcBorders>
              <w:top w:val="nil"/>
              <w:left w:val="single" w:sz="4" w:space="0" w:color="auto"/>
              <w:bottom w:val="single" w:sz="8" w:space="0" w:color="000000"/>
              <w:right w:val="single" w:sz="8" w:space="0" w:color="auto"/>
            </w:tcBorders>
            <w:vAlign w:val="center"/>
            <w:hideMark/>
          </w:tcPr>
          <w:p w14:paraId="58CABA87"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p>
        </w:tc>
      </w:tr>
      <w:tr w:rsidR="0095348C" w:rsidRPr="0095348C" w14:paraId="1907371A" w14:textId="77777777" w:rsidTr="0095348C">
        <w:trPr>
          <w:trHeight w:val="520"/>
        </w:trPr>
        <w:tc>
          <w:tcPr>
            <w:tcW w:w="2420" w:type="dxa"/>
            <w:vMerge w:val="restart"/>
            <w:tcBorders>
              <w:top w:val="nil"/>
              <w:left w:val="single" w:sz="8" w:space="0" w:color="auto"/>
              <w:bottom w:val="single" w:sz="4" w:space="0" w:color="auto"/>
              <w:right w:val="single" w:sz="4" w:space="0" w:color="auto"/>
            </w:tcBorders>
            <w:shd w:val="clear" w:color="000000" w:fill="9BBB59"/>
            <w:vAlign w:val="center"/>
            <w:hideMark/>
          </w:tcPr>
          <w:p w14:paraId="09C28598" w14:textId="77777777" w:rsidR="0095348C" w:rsidRPr="0095348C" w:rsidRDefault="0095348C" w:rsidP="0095348C">
            <w:pPr>
              <w:spacing w:after="0" w:line="240" w:lineRule="auto"/>
              <w:jc w:val="left"/>
              <w:rPr>
                <w:rFonts w:ascii="Calibri" w:eastAsia="Times New Roman" w:hAnsi="Calibri" w:cs="Calibri"/>
                <w:b/>
                <w:bCs/>
                <w:color w:val="000000"/>
                <w:lang w:val="en-US" w:eastAsia="en-US"/>
              </w:rPr>
            </w:pPr>
            <w:r w:rsidRPr="0095348C">
              <w:rPr>
                <w:rFonts w:ascii="Calibri" w:eastAsia="Times New Roman" w:hAnsi="Calibri" w:cs="Calibri"/>
                <w:b/>
                <w:bCs/>
                <w:color w:val="000000"/>
                <w:lang w:val="en-US" w:eastAsia="en-US"/>
              </w:rPr>
              <w:t>Instructions</w:t>
            </w:r>
          </w:p>
        </w:tc>
        <w:tc>
          <w:tcPr>
            <w:tcW w:w="5670" w:type="dxa"/>
            <w:tcBorders>
              <w:top w:val="nil"/>
              <w:left w:val="nil"/>
              <w:bottom w:val="single" w:sz="8" w:space="0" w:color="auto"/>
              <w:right w:val="single" w:sz="4" w:space="0" w:color="auto"/>
            </w:tcBorders>
            <w:shd w:val="clear" w:color="000000" w:fill="D6E3BC"/>
            <w:vAlign w:val="center"/>
            <w:hideMark/>
          </w:tcPr>
          <w:p w14:paraId="068BC7F4"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Added links to help users find the right TARIC code.</w:t>
            </w:r>
          </w:p>
        </w:tc>
        <w:tc>
          <w:tcPr>
            <w:tcW w:w="1800" w:type="dxa"/>
            <w:vMerge w:val="restart"/>
            <w:tcBorders>
              <w:top w:val="nil"/>
              <w:left w:val="single" w:sz="4" w:space="0" w:color="auto"/>
              <w:bottom w:val="single" w:sz="8" w:space="0" w:color="000000"/>
              <w:right w:val="single" w:sz="8" w:space="0" w:color="auto"/>
            </w:tcBorders>
            <w:shd w:val="clear" w:color="000000" w:fill="D6E3BC"/>
            <w:vAlign w:val="center"/>
            <w:hideMark/>
          </w:tcPr>
          <w:p w14:paraId="3B8283CE"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Compatibility to IPC-1754 AM2 MR192</w:t>
            </w:r>
          </w:p>
        </w:tc>
      </w:tr>
      <w:tr w:rsidR="0095348C" w:rsidRPr="0095348C" w14:paraId="066704E9" w14:textId="77777777" w:rsidTr="0095348C">
        <w:trPr>
          <w:trHeight w:val="700"/>
        </w:trPr>
        <w:tc>
          <w:tcPr>
            <w:tcW w:w="2420" w:type="dxa"/>
            <w:vMerge w:val="restart"/>
            <w:tcBorders>
              <w:top w:val="nil"/>
              <w:left w:val="single" w:sz="8" w:space="0" w:color="auto"/>
              <w:bottom w:val="single" w:sz="4" w:space="0" w:color="auto"/>
              <w:right w:val="single" w:sz="4" w:space="0" w:color="auto"/>
            </w:tcBorders>
            <w:shd w:val="clear" w:color="000000" w:fill="9BBB59"/>
            <w:vAlign w:val="center"/>
            <w:hideMark/>
          </w:tcPr>
          <w:p w14:paraId="44D99BF0" w14:textId="77777777" w:rsidR="0095348C" w:rsidRPr="0095348C" w:rsidRDefault="0095348C" w:rsidP="0095348C">
            <w:pPr>
              <w:spacing w:after="0" w:line="240" w:lineRule="auto"/>
              <w:jc w:val="left"/>
              <w:rPr>
                <w:rFonts w:ascii="Calibri" w:eastAsia="Times New Roman" w:hAnsi="Calibri" w:cs="Calibri"/>
                <w:b/>
                <w:bCs/>
                <w:color w:val="000000"/>
                <w:lang w:val="en-US" w:eastAsia="en-US"/>
              </w:rPr>
            </w:pPr>
            <w:proofErr w:type="spellStart"/>
            <w:r w:rsidRPr="0095348C">
              <w:rPr>
                <w:rFonts w:ascii="Calibri" w:eastAsia="Times New Roman" w:hAnsi="Calibri" w:cs="Calibri"/>
                <w:b/>
                <w:bCs/>
                <w:color w:val="000000"/>
                <w:lang w:val="en-US" w:eastAsia="en-US"/>
              </w:rPr>
              <w:lastRenderedPageBreak/>
              <w:t>MatC</w:t>
            </w:r>
            <w:proofErr w:type="spellEnd"/>
          </w:p>
        </w:tc>
        <w:tc>
          <w:tcPr>
            <w:tcW w:w="5670" w:type="dxa"/>
            <w:tcBorders>
              <w:top w:val="nil"/>
              <w:left w:val="nil"/>
              <w:bottom w:val="single" w:sz="8" w:space="0" w:color="auto"/>
              <w:right w:val="single" w:sz="4" w:space="0" w:color="auto"/>
            </w:tcBorders>
            <w:shd w:val="clear" w:color="000000" w:fill="D6E3BC"/>
            <w:vAlign w:val="center"/>
            <w:hideMark/>
          </w:tcPr>
          <w:p w14:paraId="6B402891"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Added query on Material Category tab</w:t>
            </w:r>
          </w:p>
        </w:tc>
        <w:tc>
          <w:tcPr>
            <w:tcW w:w="1800" w:type="dxa"/>
            <w:vMerge w:val="restart"/>
            <w:tcBorders>
              <w:top w:val="nil"/>
              <w:left w:val="single" w:sz="4" w:space="0" w:color="auto"/>
              <w:bottom w:val="single" w:sz="8" w:space="0" w:color="000000"/>
              <w:right w:val="single" w:sz="8" w:space="0" w:color="auto"/>
            </w:tcBorders>
            <w:shd w:val="clear" w:color="000000" w:fill="D6E3BC"/>
            <w:vAlign w:val="center"/>
            <w:hideMark/>
          </w:tcPr>
          <w:p w14:paraId="17612F79"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Compatibility to IPC-1754 AM2 MR189</w:t>
            </w:r>
          </w:p>
        </w:tc>
      </w:tr>
      <w:tr w:rsidR="0095348C" w:rsidRPr="0095348C" w14:paraId="45FC6A8A" w14:textId="77777777" w:rsidTr="0095348C">
        <w:trPr>
          <w:trHeight w:val="502"/>
        </w:trPr>
        <w:tc>
          <w:tcPr>
            <w:tcW w:w="2420" w:type="dxa"/>
            <w:vMerge w:val="restart"/>
            <w:tcBorders>
              <w:top w:val="nil"/>
              <w:left w:val="single" w:sz="8" w:space="0" w:color="auto"/>
              <w:bottom w:val="single" w:sz="4" w:space="0" w:color="auto"/>
              <w:right w:val="single" w:sz="4" w:space="0" w:color="auto"/>
            </w:tcBorders>
            <w:shd w:val="clear" w:color="000000" w:fill="9BBB59"/>
            <w:vAlign w:val="center"/>
            <w:hideMark/>
          </w:tcPr>
          <w:p w14:paraId="39340ADA" w14:textId="77777777" w:rsidR="0095348C" w:rsidRPr="0095348C" w:rsidRDefault="0095348C" w:rsidP="0095348C">
            <w:pPr>
              <w:spacing w:after="0" w:line="240" w:lineRule="auto"/>
              <w:jc w:val="left"/>
              <w:rPr>
                <w:rFonts w:ascii="Calibri" w:eastAsia="Times New Roman" w:hAnsi="Calibri" w:cs="Calibri"/>
                <w:b/>
                <w:bCs/>
                <w:color w:val="000000"/>
                <w:lang w:val="en-US" w:eastAsia="en-US"/>
              </w:rPr>
            </w:pPr>
            <w:r w:rsidRPr="0095348C">
              <w:rPr>
                <w:rFonts w:ascii="Calibri" w:eastAsia="Times New Roman" w:hAnsi="Calibri" w:cs="Calibri"/>
                <w:b/>
                <w:bCs/>
                <w:color w:val="000000"/>
                <w:lang w:val="en-US" w:eastAsia="en-US"/>
              </w:rPr>
              <w:t>Material Category</w:t>
            </w:r>
          </w:p>
        </w:tc>
        <w:tc>
          <w:tcPr>
            <w:tcW w:w="5670" w:type="dxa"/>
            <w:tcBorders>
              <w:top w:val="nil"/>
              <w:left w:val="nil"/>
              <w:bottom w:val="single" w:sz="8" w:space="0" w:color="auto"/>
              <w:right w:val="single" w:sz="4" w:space="0" w:color="auto"/>
            </w:tcBorders>
            <w:shd w:val="clear" w:color="000000" w:fill="D6E3BC"/>
            <w:vAlign w:val="center"/>
            <w:hideMark/>
          </w:tcPr>
          <w:p w14:paraId="1C912D7B"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Added tab from SCIP_Format_Annex_Pick_List.xlsx</w:t>
            </w:r>
          </w:p>
        </w:tc>
        <w:tc>
          <w:tcPr>
            <w:tcW w:w="1800" w:type="dxa"/>
            <w:vMerge w:val="restart"/>
            <w:tcBorders>
              <w:top w:val="nil"/>
              <w:left w:val="single" w:sz="4" w:space="0" w:color="auto"/>
              <w:bottom w:val="single" w:sz="8" w:space="0" w:color="000000"/>
              <w:right w:val="single" w:sz="8" w:space="0" w:color="auto"/>
            </w:tcBorders>
            <w:shd w:val="clear" w:color="000000" w:fill="D6E3BC"/>
            <w:vAlign w:val="center"/>
            <w:hideMark/>
          </w:tcPr>
          <w:p w14:paraId="088A8AD3"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Compatibility to IPC-1754 AM2 MR189</w:t>
            </w:r>
          </w:p>
        </w:tc>
      </w:tr>
      <w:tr w:rsidR="0095348C" w:rsidRPr="0095348C" w14:paraId="325F9548" w14:textId="77777777" w:rsidTr="0095348C">
        <w:trPr>
          <w:trHeight w:val="610"/>
        </w:trPr>
        <w:tc>
          <w:tcPr>
            <w:tcW w:w="2420" w:type="dxa"/>
            <w:vMerge/>
            <w:tcBorders>
              <w:top w:val="nil"/>
              <w:left w:val="single" w:sz="8" w:space="0" w:color="auto"/>
              <w:bottom w:val="single" w:sz="4" w:space="0" w:color="auto"/>
              <w:right w:val="single" w:sz="4" w:space="0" w:color="auto"/>
            </w:tcBorders>
            <w:vAlign w:val="center"/>
            <w:hideMark/>
          </w:tcPr>
          <w:p w14:paraId="7F8FF836" w14:textId="77777777" w:rsidR="0095348C" w:rsidRPr="0095348C" w:rsidRDefault="0095348C" w:rsidP="0095348C">
            <w:pPr>
              <w:spacing w:after="0" w:line="240" w:lineRule="auto"/>
              <w:jc w:val="left"/>
              <w:rPr>
                <w:rFonts w:ascii="Calibri" w:eastAsia="Times New Roman" w:hAnsi="Calibri" w:cs="Calibri"/>
                <w:b/>
                <w:bCs/>
                <w:color w:val="000000"/>
                <w:lang w:val="en-US" w:eastAsia="en-US"/>
              </w:rPr>
            </w:pPr>
          </w:p>
        </w:tc>
        <w:tc>
          <w:tcPr>
            <w:tcW w:w="5670" w:type="dxa"/>
            <w:tcBorders>
              <w:top w:val="nil"/>
              <w:left w:val="nil"/>
              <w:bottom w:val="single" w:sz="8" w:space="0" w:color="auto"/>
              <w:right w:val="single" w:sz="4" w:space="0" w:color="auto"/>
            </w:tcBorders>
            <w:shd w:val="clear" w:color="000000" w:fill="D6E3BC"/>
            <w:vAlign w:val="center"/>
            <w:hideMark/>
          </w:tcPr>
          <w:p w14:paraId="513225C7"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Update picklist data to revision 3.0 and update version control grid to include link to the data source</w:t>
            </w:r>
          </w:p>
        </w:tc>
        <w:tc>
          <w:tcPr>
            <w:tcW w:w="1800" w:type="dxa"/>
            <w:vMerge/>
            <w:tcBorders>
              <w:top w:val="nil"/>
              <w:left w:val="single" w:sz="4" w:space="0" w:color="auto"/>
              <w:bottom w:val="single" w:sz="8" w:space="0" w:color="000000"/>
              <w:right w:val="single" w:sz="8" w:space="0" w:color="auto"/>
            </w:tcBorders>
            <w:vAlign w:val="center"/>
            <w:hideMark/>
          </w:tcPr>
          <w:p w14:paraId="0BE02E5E"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p>
        </w:tc>
      </w:tr>
      <w:tr w:rsidR="0095348C" w:rsidRPr="0095348C" w14:paraId="6C3801F6" w14:textId="77777777" w:rsidTr="0095348C">
        <w:trPr>
          <w:trHeight w:val="520"/>
        </w:trPr>
        <w:tc>
          <w:tcPr>
            <w:tcW w:w="2420" w:type="dxa"/>
            <w:vMerge w:val="restart"/>
            <w:tcBorders>
              <w:top w:val="nil"/>
              <w:left w:val="single" w:sz="8" w:space="0" w:color="auto"/>
              <w:bottom w:val="single" w:sz="4" w:space="0" w:color="auto"/>
              <w:right w:val="single" w:sz="4" w:space="0" w:color="auto"/>
            </w:tcBorders>
            <w:shd w:val="clear" w:color="000000" w:fill="9BBB59"/>
            <w:vAlign w:val="center"/>
            <w:hideMark/>
          </w:tcPr>
          <w:p w14:paraId="17EEA96D" w14:textId="77777777" w:rsidR="0095348C" w:rsidRPr="0095348C" w:rsidRDefault="0095348C" w:rsidP="0095348C">
            <w:pPr>
              <w:spacing w:after="0" w:line="240" w:lineRule="auto"/>
              <w:jc w:val="left"/>
              <w:rPr>
                <w:rFonts w:ascii="Calibri" w:eastAsia="Times New Roman" w:hAnsi="Calibri" w:cs="Calibri"/>
                <w:b/>
                <w:bCs/>
                <w:color w:val="000000"/>
                <w:lang w:val="en-US" w:eastAsia="en-US"/>
              </w:rPr>
            </w:pPr>
            <w:proofErr w:type="spellStart"/>
            <w:r w:rsidRPr="0095348C">
              <w:rPr>
                <w:rFonts w:ascii="Calibri" w:eastAsia="Times New Roman" w:hAnsi="Calibri" w:cs="Calibri"/>
                <w:b/>
                <w:bCs/>
                <w:color w:val="000000"/>
                <w:lang w:val="en-US" w:eastAsia="en-US"/>
              </w:rPr>
              <w:t>MixC</w:t>
            </w:r>
            <w:proofErr w:type="spellEnd"/>
          </w:p>
        </w:tc>
        <w:tc>
          <w:tcPr>
            <w:tcW w:w="5670" w:type="dxa"/>
            <w:tcBorders>
              <w:top w:val="nil"/>
              <w:left w:val="nil"/>
              <w:bottom w:val="single" w:sz="8" w:space="0" w:color="auto"/>
              <w:right w:val="single" w:sz="4" w:space="0" w:color="auto"/>
            </w:tcBorders>
            <w:shd w:val="clear" w:color="000000" w:fill="D6E3BC"/>
            <w:vAlign w:val="center"/>
            <w:hideMark/>
          </w:tcPr>
          <w:p w14:paraId="39E66BE7"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Added query on Mixture Category tab</w:t>
            </w:r>
          </w:p>
        </w:tc>
        <w:tc>
          <w:tcPr>
            <w:tcW w:w="1800" w:type="dxa"/>
            <w:vMerge w:val="restart"/>
            <w:tcBorders>
              <w:top w:val="nil"/>
              <w:left w:val="single" w:sz="4" w:space="0" w:color="auto"/>
              <w:bottom w:val="single" w:sz="8" w:space="0" w:color="000000"/>
              <w:right w:val="single" w:sz="8" w:space="0" w:color="auto"/>
            </w:tcBorders>
            <w:shd w:val="clear" w:color="000000" w:fill="D6E3BC"/>
            <w:vAlign w:val="center"/>
            <w:hideMark/>
          </w:tcPr>
          <w:p w14:paraId="57C64453"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Compatibility to IPC-1754 AM2 MR189</w:t>
            </w:r>
          </w:p>
        </w:tc>
      </w:tr>
      <w:tr w:rsidR="0095348C" w:rsidRPr="0095348C" w14:paraId="5D8EDDA9" w14:textId="77777777" w:rsidTr="0095348C">
        <w:trPr>
          <w:trHeight w:val="412"/>
        </w:trPr>
        <w:tc>
          <w:tcPr>
            <w:tcW w:w="2420" w:type="dxa"/>
            <w:vMerge w:val="restart"/>
            <w:tcBorders>
              <w:top w:val="nil"/>
              <w:left w:val="single" w:sz="8" w:space="0" w:color="auto"/>
              <w:bottom w:val="single" w:sz="4" w:space="0" w:color="auto"/>
              <w:right w:val="single" w:sz="4" w:space="0" w:color="auto"/>
            </w:tcBorders>
            <w:shd w:val="clear" w:color="000000" w:fill="9BBB59"/>
            <w:vAlign w:val="center"/>
            <w:hideMark/>
          </w:tcPr>
          <w:p w14:paraId="3BB02417" w14:textId="77777777" w:rsidR="0095348C" w:rsidRPr="0095348C" w:rsidRDefault="0095348C" w:rsidP="0095348C">
            <w:pPr>
              <w:spacing w:after="0" w:line="240" w:lineRule="auto"/>
              <w:jc w:val="left"/>
              <w:rPr>
                <w:rFonts w:ascii="Calibri" w:eastAsia="Times New Roman" w:hAnsi="Calibri" w:cs="Calibri"/>
                <w:b/>
                <w:bCs/>
                <w:color w:val="000000"/>
                <w:lang w:val="en-US" w:eastAsia="en-US"/>
              </w:rPr>
            </w:pPr>
            <w:r w:rsidRPr="0095348C">
              <w:rPr>
                <w:rFonts w:ascii="Calibri" w:eastAsia="Times New Roman" w:hAnsi="Calibri" w:cs="Calibri"/>
                <w:b/>
                <w:bCs/>
                <w:color w:val="000000"/>
                <w:lang w:val="en-US" w:eastAsia="en-US"/>
              </w:rPr>
              <w:t>Mixture Category</w:t>
            </w:r>
          </w:p>
        </w:tc>
        <w:tc>
          <w:tcPr>
            <w:tcW w:w="5670" w:type="dxa"/>
            <w:tcBorders>
              <w:top w:val="nil"/>
              <w:left w:val="nil"/>
              <w:bottom w:val="single" w:sz="8" w:space="0" w:color="auto"/>
              <w:right w:val="single" w:sz="4" w:space="0" w:color="auto"/>
            </w:tcBorders>
            <w:shd w:val="clear" w:color="000000" w:fill="D6E3BC"/>
            <w:vAlign w:val="center"/>
            <w:hideMark/>
          </w:tcPr>
          <w:p w14:paraId="6F656B95" w14:textId="3087CC03"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Added tab from SCIP_Format_Annex_Pick_List.xlsx</w:t>
            </w:r>
          </w:p>
        </w:tc>
        <w:tc>
          <w:tcPr>
            <w:tcW w:w="1800" w:type="dxa"/>
            <w:vMerge w:val="restart"/>
            <w:tcBorders>
              <w:top w:val="nil"/>
              <w:left w:val="single" w:sz="4" w:space="0" w:color="auto"/>
              <w:bottom w:val="single" w:sz="8" w:space="0" w:color="000000"/>
              <w:right w:val="single" w:sz="8" w:space="0" w:color="auto"/>
            </w:tcBorders>
            <w:shd w:val="clear" w:color="000000" w:fill="D6E3BC"/>
            <w:vAlign w:val="center"/>
            <w:hideMark/>
          </w:tcPr>
          <w:p w14:paraId="20DD1C2E"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Compatibility to IPC-1754 AM2 MR189</w:t>
            </w:r>
          </w:p>
        </w:tc>
      </w:tr>
      <w:tr w:rsidR="0095348C" w:rsidRPr="0095348C" w14:paraId="5E6FD358" w14:textId="77777777" w:rsidTr="0095348C">
        <w:trPr>
          <w:trHeight w:val="520"/>
        </w:trPr>
        <w:tc>
          <w:tcPr>
            <w:tcW w:w="2420" w:type="dxa"/>
            <w:vMerge/>
            <w:tcBorders>
              <w:top w:val="nil"/>
              <w:left w:val="single" w:sz="8" w:space="0" w:color="auto"/>
              <w:bottom w:val="single" w:sz="4" w:space="0" w:color="auto"/>
              <w:right w:val="single" w:sz="4" w:space="0" w:color="auto"/>
            </w:tcBorders>
            <w:vAlign w:val="center"/>
            <w:hideMark/>
          </w:tcPr>
          <w:p w14:paraId="4CDA8B23" w14:textId="77777777" w:rsidR="0095348C" w:rsidRPr="0095348C" w:rsidRDefault="0095348C" w:rsidP="0095348C">
            <w:pPr>
              <w:spacing w:after="0" w:line="240" w:lineRule="auto"/>
              <w:jc w:val="left"/>
              <w:rPr>
                <w:rFonts w:ascii="Calibri" w:eastAsia="Times New Roman" w:hAnsi="Calibri" w:cs="Calibri"/>
                <w:b/>
                <w:bCs/>
                <w:color w:val="000000"/>
                <w:lang w:val="en-US" w:eastAsia="en-US"/>
              </w:rPr>
            </w:pPr>
          </w:p>
        </w:tc>
        <w:tc>
          <w:tcPr>
            <w:tcW w:w="5670" w:type="dxa"/>
            <w:tcBorders>
              <w:top w:val="nil"/>
              <w:left w:val="nil"/>
              <w:bottom w:val="single" w:sz="8" w:space="0" w:color="auto"/>
              <w:right w:val="single" w:sz="4" w:space="0" w:color="auto"/>
            </w:tcBorders>
            <w:shd w:val="clear" w:color="000000" w:fill="D6E3BC"/>
            <w:vAlign w:val="center"/>
            <w:hideMark/>
          </w:tcPr>
          <w:p w14:paraId="7718A962"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Update picklist data to revision 4.1 and update version control grid to include link to the data source</w:t>
            </w:r>
          </w:p>
        </w:tc>
        <w:tc>
          <w:tcPr>
            <w:tcW w:w="1800" w:type="dxa"/>
            <w:vMerge/>
            <w:tcBorders>
              <w:top w:val="nil"/>
              <w:left w:val="single" w:sz="4" w:space="0" w:color="auto"/>
              <w:bottom w:val="single" w:sz="8" w:space="0" w:color="000000"/>
              <w:right w:val="single" w:sz="8" w:space="0" w:color="auto"/>
            </w:tcBorders>
            <w:vAlign w:val="center"/>
            <w:hideMark/>
          </w:tcPr>
          <w:p w14:paraId="0827157B"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p>
        </w:tc>
      </w:tr>
      <w:tr w:rsidR="0095348C" w:rsidRPr="0095348C" w14:paraId="1A6DF0F4" w14:textId="77777777" w:rsidTr="0095348C">
        <w:trPr>
          <w:trHeight w:val="682"/>
        </w:trPr>
        <w:tc>
          <w:tcPr>
            <w:tcW w:w="2420" w:type="dxa"/>
            <w:vMerge w:val="restart"/>
            <w:tcBorders>
              <w:top w:val="nil"/>
              <w:left w:val="single" w:sz="8" w:space="0" w:color="auto"/>
              <w:bottom w:val="single" w:sz="4" w:space="0" w:color="auto"/>
              <w:right w:val="single" w:sz="4" w:space="0" w:color="auto"/>
            </w:tcBorders>
            <w:shd w:val="clear" w:color="000000" w:fill="9BBB59"/>
            <w:vAlign w:val="center"/>
            <w:hideMark/>
          </w:tcPr>
          <w:p w14:paraId="030BB1A3" w14:textId="77777777" w:rsidR="0095348C" w:rsidRPr="0095348C" w:rsidRDefault="0095348C" w:rsidP="0095348C">
            <w:pPr>
              <w:spacing w:after="0" w:line="240" w:lineRule="auto"/>
              <w:jc w:val="left"/>
              <w:rPr>
                <w:rFonts w:ascii="Calibri" w:eastAsia="Times New Roman" w:hAnsi="Calibri" w:cs="Calibri"/>
                <w:b/>
                <w:bCs/>
                <w:color w:val="000000"/>
                <w:lang w:val="en-US" w:eastAsia="en-US"/>
              </w:rPr>
            </w:pPr>
            <w:r w:rsidRPr="0095348C">
              <w:rPr>
                <w:rFonts w:ascii="Calibri" w:eastAsia="Times New Roman" w:hAnsi="Calibri" w:cs="Calibri"/>
                <w:b/>
                <w:bCs/>
                <w:color w:val="000000"/>
                <w:lang w:val="en-US" w:eastAsia="en-US"/>
              </w:rPr>
              <w:t>Multiple Pick Lists</w:t>
            </w:r>
          </w:p>
        </w:tc>
        <w:tc>
          <w:tcPr>
            <w:tcW w:w="5670" w:type="dxa"/>
            <w:tcBorders>
              <w:top w:val="nil"/>
              <w:left w:val="nil"/>
              <w:bottom w:val="single" w:sz="8" w:space="0" w:color="auto"/>
              <w:right w:val="single" w:sz="4" w:space="0" w:color="auto"/>
            </w:tcBorders>
            <w:shd w:val="clear" w:color="000000" w:fill="D6E3BC"/>
            <w:vAlign w:val="center"/>
            <w:hideMark/>
          </w:tcPr>
          <w:p w14:paraId="72AA6572"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Added tab from SCIP_Format_Annex_Pick_List.xlsx</w:t>
            </w:r>
          </w:p>
        </w:tc>
        <w:tc>
          <w:tcPr>
            <w:tcW w:w="1800" w:type="dxa"/>
            <w:vMerge w:val="restart"/>
            <w:tcBorders>
              <w:top w:val="nil"/>
              <w:left w:val="single" w:sz="4" w:space="0" w:color="auto"/>
              <w:bottom w:val="single" w:sz="8" w:space="0" w:color="000000"/>
              <w:right w:val="single" w:sz="8" w:space="0" w:color="auto"/>
            </w:tcBorders>
            <w:shd w:val="clear" w:color="000000" w:fill="D6E3BC"/>
            <w:vAlign w:val="center"/>
            <w:hideMark/>
          </w:tcPr>
          <w:p w14:paraId="0E02BF34"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Compatibility to IPC-1754 AM2 MR189</w:t>
            </w:r>
          </w:p>
        </w:tc>
      </w:tr>
      <w:tr w:rsidR="0095348C" w:rsidRPr="0095348C" w14:paraId="77251B30" w14:textId="77777777" w:rsidTr="0095348C">
        <w:trPr>
          <w:trHeight w:val="808"/>
        </w:trPr>
        <w:tc>
          <w:tcPr>
            <w:tcW w:w="2420" w:type="dxa"/>
            <w:vMerge/>
            <w:tcBorders>
              <w:top w:val="nil"/>
              <w:left w:val="single" w:sz="8" w:space="0" w:color="auto"/>
              <w:bottom w:val="single" w:sz="4" w:space="0" w:color="auto"/>
              <w:right w:val="single" w:sz="4" w:space="0" w:color="auto"/>
            </w:tcBorders>
            <w:vAlign w:val="center"/>
            <w:hideMark/>
          </w:tcPr>
          <w:p w14:paraId="06C189ED" w14:textId="77777777" w:rsidR="0095348C" w:rsidRPr="0095348C" w:rsidRDefault="0095348C" w:rsidP="0095348C">
            <w:pPr>
              <w:spacing w:after="0" w:line="240" w:lineRule="auto"/>
              <w:jc w:val="left"/>
              <w:rPr>
                <w:rFonts w:ascii="Calibri" w:eastAsia="Times New Roman" w:hAnsi="Calibri" w:cs="Calibri"/>
                <w:b/>
                <w:bCs/>
                <w:color w:val="000000"/>
                <w:lang w:val="en-US" w:eastAsia="en-US"/>
              </w:rPr>
            </w:pPr>
          </w:p>
        </w:tc>
        <w:tc>
          <w:tcPr>
            <w:tcW w:w="5670" w:type="dxa"/>
            <w:tcBorders>
              <w:top w:val="nil"/>
              <w:left w:val="nil"/>
              <w:bottom w:val="single" w:sz="8" w:space="0" w:color="auto"/>
              <w:right w:val="single" w:sz="4" w:space="0" w:color="auto"/>
            </w:tcBorders>
            <w:shd w:val="clear" w:color="000000" w:fill="D6E3BC"/>
            <w:vAlign w:val="center"/>
            <w:hideMark/>
          </w:tcPr>
          <w:p w14:paraId="49D4EEF0"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 xml:space="preserve">Update </w:t>
            </w:r>
            <w:proofErr w:type="spellStart"/>
            <w:r w:rsidRPr="0095348C">
              <w:rPr>
                <w:rFonts w:ascii="Calibri" w:eastAsia="Times New Roman" w:hAnsi="Calibri" w:cs="Calibri"/>
                <w:color w:val="000000"/>
                <w:lang w:val="en-US" w:eastAsia="en-US"/>
              </w:rPr>
              <w:t>Colours</w:t>
            </w:r>
            <w:proofErr w:type="spellEnd"/>
            <w:r w:rsidRPr="0095348C">
              <w:rPr>
                <w:rFonts w:ascii="Calibri" w:eastAsia="Times New Roman" w:hAnsi="Calibri" w:cs="Calibri"/>
                <w:color w:val="000000"/>
                <w:lang w:val="en-US" w:eastAsia="en-US"/>
              </w:rPr>
              <w:t xml:space="preserve"> picklist data to revision 3.0 and update version control grid to include link to the data source</w:t>
            </w:r>
          </w:p>
        </w:tc>
        <w:tc>
          <w:tcPr>
            <w:tcW w:w="1800" w:type="dxa"/>
            <w:vMerge/>
            <w:tcBorders>
              <w:top w:val="nil"/>
              <w:left w:val="single" w:sz="4" w:space="0" w:color="auto"/>
              <w:bottom w:val="single" w:sz="8" w:space="0" w:color="000000"/>
              <w:right w:val="single" w:sz="8" w:space="0" w:color="auto"/>
            </w:tcBorders>
            <w:vAlign w:val="center"/>
            <w:hideMark/>
          </w:tcPr>
          <w:p w14:paraId="08DF3C9D"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p>
        </w:tc>
      </w:tr>
      <w:tr w:rsidR="0095348C" w:rsidRPr="0095348C" w14:paraId="27025A46" w14:textId="77777777" w:rsidTr="0095348C">
        <w:trPr>
          <w:trHeight w:val="502"/>
        </w:trPr>
        <w:tc>
          <w:tcPr>
            <w:tcW w:w="2420" w:type="dxa"/>
            <w:vMerge w:val="restart"/>
            <w:tcBorders>
              <w:top w:val="nil"/>
              <w:left w:val="single" w:sz="8" w:space="0" w:color="auto"/>
              <w:bottom w:val="single" w:sz="4" w:space="0" w:color="auto"/>
              <w:right w:val="single" w:sz="4" w:space="0" w:color="auto"/>
            </w:tcBorders>
            <w:shd w:val="clear" w:color="000000" w:fill="9BBB59"/>
            <w:vAlign w:val="center"/>
            <w:hideMark/>
          </w:tcPr>
          <w:p w14:paraId="6590FD91" w14:textId="77777777" w:rsidR="0095348C" w:rsidRPr="0095348C" w:rsidRDefault="0095348C" w:rsidP="0095348C">
            <w:pPr>
              <w:spacing w:after="0" w:line="240" w:lineRule="auto"/>
              <w:jc w:val="left"/>
              <w:rPr>
                <w:rFonts w:ascii="Calibri" w:eastAsia="Times New Roman" w:hAnsi="Calibri" w:cs="Calibri"/>
                <w:b/>
                <w:bCs/>
                <w:color w:val="000000"/>
                <w:lang w:val="en-US" w:eastAsia="en-US"/>
              </w:rPr>
            </w:pPr>
            <w:proofErr w:type="spellStart"/>
            <w:r w:rsidRPr="0095348C">
              <w:rPr>
                <w:rFonts w:ascii="Calibri" w:eastAsia="Times New Roman" w:hAnsi="Calibri" w:cs="Calibri"/>
                <w:b/>
                <w:bCs/>
                <w:color w:val="000000"/>
                <w:lang w:val="en-US" w:eastAsia="en-US"/>
              </w:rPr>
              <w:t>Taric</w:t>
            </w:r>
            <w:proofErr w:type="spellEnd"/>
            <w:r w:rsidRPr="0095348C">
              <w:rPr>
                <w:rFonts w:ascii="Calibri" w:eastAsia="Times New Roman" w:hAnsi="Calibri" w:cs="Calibri"/>
                <w:b/>
                <w:bCs/>
                <w:color w:val="000000"/>
                <w:lang w:val="en-US" w:eastAsia="en-US"/>
              </w:rPr>
              <w:t xml:space="preserve"> Codes</w:t>
            </w:r>
          </w:p>
        </w:tc>
        <w:tc>
          <w:tcPr>
            <w:tcW w:w="5670" w:type="dxa"/>
            <w:tcBorders>
              <w:top w:val="nil"/>
              <w:left w:val="nil"/>
              <w:bottom w:val="single" w:sz="8" w:space="0" w:color="auto"/>
              <w:right w:val="single" w:sz="4" w:space="0" w:color="auto"/>
            </w:tcBorders>
            <w:shd w:val="clear" w:color="000000" w:fill="D6E3BC"/>
            <w:vAlign w:val="center"/>
            <w:hideMark/>
          </w:tcPr>
          <w:p w14:paraId="065C8AB5"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Added tab from SCIP_Format_Annex_Pick_List.xlsx</w:t>
            </w:r>
          </w:p>
        </w:tc>
        <w:tc>
          <w:tcPr>
            <w:tcW w:w="1800" w:type="dxa"/>
            <w:vMerge w:val="restart"/>
            <w:tcBorders>
              <w:top w:val="nil"/>
              <w:left w:val="single" w:sz="4" w:space="0" w:color="auto"/>
              <w:bottom w:val="single" w:sz="8" w:space="0" w:color="000000"/>
              <w:right w:val="single" w:sz="8" w:space="0" w:color="auto"/>
            </w:tcBorders>
            <w:shd w:val="clear" w:color="000000" w:fill="D6E3BC"/>
            <w:vAlign w:val="center"/>
            <w:hideMark/>
          </w:tcPr>
          <w:p w14:paraId="2741EBDE"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Compatibility to IPC-1754 AM2 MR189</w:t>
            </w:r>
          </w:p>
        </w:tc>
      </w:tr>
      <w:tr w:rsidR="0095348C" w:rsidRPr="0095348C" w14:paraId="74AEA551" w14:textId="77777777" w:rsidTr="0095348C">
        <w:trPr>
          <w:trHeight w:val="628"/>
        </w:trPr>
        <w:tc>
          <w:tcPr>
            <w:tcW w:w="2420" w:type="dxa"/>
            <w:vMerge/>
            <w:tcBorders>
              <w:top w:val="nil"/>
              <w:left w:val="single" w:sz="8" w:space="0" w:color="auto"/>
              <w:bottom w:val="single" w:sz="4" w:space="0" w:color="auto"/>
              <w:right w:val="single" w:sz="4" w:space="0" w:color="auto"/>
            </w:tcBorders>
            <w:vAlign w:val="center"/>
            <w:hideMark/>
          </w:tcPr>
          <w:p w14:paraId="204DF2DE" w14:textId="77777777" w:rsidR="0095348C" w:rsidRPr="0095348C" w:rsidRDefault="0095348C" w:rsidP="0095348C">
            <w:pPr>
              <w:spacing w:after="0" w:line="240" w:lineRule="auto"/>
              <w:jc w:val="left"/>
              <w:rPr>
                <w:rFonts w:ascii="Calibri" w:eastAsia="Times New Roman" w:hAnsi="Calibri" w:cs="Calibri"/>
                <w:b/>
                <w:bCs/>
                <w:color w:val="000000"/>
                <w:lang w:val="en-US" w:eastAsia="en-US"/>
              </w:rPr>
            </w:pPr>
          </w:p>
        </w:tc>
        <w:tc>
          <w:tcPr>
            <w:tcW w:w="5670" w:type="dxa"/>
            <w:tcBorders>
              <w:top w:val="nil"/>
              <w:left w:val="nil"/>
              <w:bottom w:val="single" w:sz="8" w:space="0" w:color="auto"/>
              <w:right w:val="single" w:sz="4" w:space="0" w:color="auto"/>
            </w:tcBorders>
            <w:shd w:val="clear" w:color="000000" w:fill="D6E3BC"/>
            <w:vAlign w:val="center"/>
            <w:hideMark/>
          </w:tcPr>
          <w:p w14:paraId="696AF468"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 xml:space="preserve">Trimmed down list of available </w:t>
            </w:r>
            <w:proofErr w:type="spellStart"/>
            <w:r w:rsidRPr="0095348C">
              <w:rPr>
                <w:rFonts w:ascii="Calibri" w:eastAsia="Times New Roman" w:hAnsi="Calibri" w:cs="Calibri"/>
                <w:color w:val="000000"/>
                <w:lang w:val="en-US" w:eastAsia="en-US"/>
              </w:rPr>
              <w:t>taric</w:t>
            </w:r>
            <w:proofErr w:type="spellEnd"/>
            <w:r w:rsidRPr="0095348C">
              <w:rPr>
                <w:rFonts w:ascii="Calibri" w:eastAsia="Times New Roman" w:hAnsi="Calibri" w:cs="Calibri"/>
                <w:color w:val="000000"/>
                <w:lang w:val="en-US" w:eastAsia="en-US"/>
              </w:rPr>
              <w:t xml:space="preserve"> codes by removing Sections I,II,III,IV,VIII,XII,XXI, removing '</w:t>
            </w:r>
            <w:proofErr w:type="spellStart"/>
            <w:r w:rsidRPr="0095348C">
              <w:rPr>
                <w:rFonts w:ascii="Calibri" w:eastAsia="Times New Roman" w:hAnsi="Calibri" w:cs="Calibri"/>
                <w:color w:val="000000"/>
                <w:lang w:val="en-US" w:eastAsia="en-US"/>
              </w:rPr>
              <w:t>SelectableFlag</w:t>
            </w:r>
            <w:proofErr w:type="spellEnd"/>
            <w:r w:rsidRPr="0095348C">
              <w:rPr>
                <w:rFonts w:ascii="Calibri" w:eastAsia="Times New Roman" w:hAnsi="Calibri" w:cs="Calibri"/>
                <w:color w:val="000000"/>
                <w:lang w:val="en-US" w:eastAsia="en-US"/>
              </w:rPr>
              <w:t>' = FALSE rows, and removing descriptors for TARIC codes.</w:t>
            </w:r>
          </w:p>
        </w:tc>
        <w:tc>
          <w:tcPr>
            <w:tcW w:w="1800" w:type="dxa"/>
            <w:vMerge/>
            <w:tcBorders>
              <w:top w:val="nil"/>
              <w:left w:val="single" w:sz="4" w:space="0" w:color="auto"/>
              <w:bottom w:val="single" w:sz="8" w:space="0" w:color="000000"/>
              <w:right w:val="single" w:sz="8" w:space="0" w:color="auto"/>
            </w:tcBorders>
            <w:vAlign w:val="center"/>
            <w:hideMark/>
          </w:tcPr>
          <w:p w14:paraId="472F17BE"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p>
        </w:tc>
      </w:tr>
      <w:tr w:rsidR="0095348C" w:rsidRPr="0095348C" w14:paraId="196722EE" w14:textId="77777777" w:rsidTr="0095348C">
        <w:trPr>
          <w:trHeight w:val="700"/>
        </w:trPr>
        <w:tc>
          <w:tcPr>
            <w:tcW w:w="2420" w:type="dxa"/>
            <w:vMerge/>
            <w:tcBorders>
              <w:top w:val="nil"/>
              <w:left w:val="single" w:sz="8" w:space="0" w:color="auto"/>
              <w:bottom w:val="single" w:sz="4" w:space="0" w:color="auto"/>
              <w:right w:val="single" w:sz="4" w:space="0" w:color="auto"/>
            </w:tcBorders>
            <w:vAlign w:val="center"/>
            <w:hideMark/>
          </w:tcPr>
          <w:p w14:paraId="6B0917B3" w14:textId="77777777" w:rsidR="0095348C" w:rsidRPr="0095348C" w:rsidRDefault="0095348C" w:rsidP="0095348C">
            <w:pPr>
              <w:spacing w:after="0" w:line="240" w:lineRule="auto"/>
              <w:jc w:val="left"/>
              <w:rPr>
                <w:rFonts w:ascii="Calibri" w:eastAsia="Times New Roman" w:hAnsi="Calibri" w:cs="Calibri"/>
                <w:b/>
                <w:bCs/>
                <w:color w:val="000000"/>
                <w:lang w:val="en-US" w:eastAsia="en-US"/>
              </w:rPr>
            </w:pPr>
          </w:p>
        </w:tc>
        <w:tc>
          <w:tcPr>
            <w:tcW w:w="5670" w:type="dxa"/>
            <w:tcBorders>
              <w:top w:val="nil"/>
              <w:left w:val="nil"/>
              <w:bottom w:val="single" w:sz="8" w:space="0" w:color="auto"/>
              <w:right w:val="single" w:sz="4" w:space="0" w:color="auto"/>
            </w:tcBorders>
            <w:shd w:val="clear" w:color="000000" w:fill="D6E3BC"/>
            <w:vAlign w:val="center"/>
            <w:hideMark/>
          </w:tcPr>
          <w:p w14:paraId="56DF10DB"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r w:rsidRPr="0095348C">
              <w:rPr>
                <w:rFonts w:ascii="Calibri" w:eastAsia="Times New Roman" w:hAnsi="Calibri" w:cs="Calibri"/>
                <w:color w:val="000000"/>
                <w:lang w:val="en-US" w:eastAsia="en-US"/>
              </w:rPr>
              <w:t>Update picklist data to revision 4.2 and update version control grid to include link to the data source</w:t>
            </w:r>
          </w:p>
        </w:tc>
        <w:tc>
          <w:tcPr>
            <w:tcW w:w="1800" w:type="dxa"/>
            <w:vMerge/>
            <w:tcBorders>
              <w:top w:val="nil"/>
              <w:left w:val="single" w:sz="4" w:space="0" w:color="auto"/>
              <w:bottom w:val="single" w:sz="8" w:space="0" w:color="000000"/>
              <w:right w:val="single" w:sz="8" w:space="0" w:color="auto"/>
            </w:tcBorders>
            <w:vAlign w:val="center"/>
            <w:hideMark/>
          </w:tcPr>
          <w:p w14:paraId="469691E0" w14:textId="77777777" w:rsidR="0095348C" w:rsidRPr="0095348C" w:rsidRDefault="0095348C" w:rsidP="0095348C">
            <w:pPr>
              <w:spacing w:after="0" w:line="240" w:lineRule="auto"/>
              <w:jc w:val="left"/>
              <w:rPr>
                <w:rFonts w:ascii="Calibri" w:eastAsia="Times New Roman" w:hAnsi="Calibri" w:cs="Calibri"/>
                <w:color w:val="000000"/>
                <w:lang w:val="en-US" w:eastAsia="en-US"/>
              </w:rPr>
            </w:pPr>
          </w:p>
        </w:tc>
      </w:tr>
    </w:tbl>
    <w:p w14:paraId="73CA68CD" w14:textId="77777777" w:rsidR="00E02ABD" w:rsidRPr="00E02ABD" w:rsidRDefault="00E02ABD" w:rsidP="00E02ABD"/>
    <w:p w14:paraId="67660036" w14:textId="1EA46FDE" w:rsidR="00B556D0" w:rsidRDefault="00B556D0" w:rsidP="00E02ABD">
      <w:pPr>
        <w:pStyle w:val="Heading1"/>
        <w:spacing w:before="240"/>
        <w:ind w:left="360" w:hanging="360"/>
      </w:pPr>
      <w:r>
        <w:t>AD-SRT Support &amp; Maintenance</w:t>
      </w:r>
      <w:bookmarkEnd w:id="5"/>
      <w:bookmarkEnd w:id="6"/>
      <w:bookmarkEnd w:id="7"/>
      <w:bookmarkEnd w:id="8"/>
    </w:p>
    <w:p w14:paraId="4F2317AB" w14:textId="77777777" w:rsidR="00B556D0" w:rsidRDefault="00B556D0" w:rsidP="00B556D0">
      <w:r>
        <w:t xml:space="preserve">AD-SRT is owned and maintained by IAEG®. It is available on the IAEG website (www.iaeg.com) on the webpage: </w:t>
      </w:r>
      <w:r w:rsidRPr="00C17CED">
        <w:rPr>
          <w:rStyle w:val="Hyperlink"/>
        </w:rPr>
        <w:t>http:</w:t>
      </w:r>
      <w:r>
        <w:rPr>
          <w:rStyle w:val="Hyperlink"/>
        </w:rPr>
        <w:t>//www.iaeg.com/chemicalrpt/adsrt</w:t>
      </w:r>
      <w:r>
        <w:t xml:space="preserve"> </w:t>
      </w:r>
    </w:p>
    <w:p w14:paraId="104FE539" w14:textId="77777777" w:rsidR="00B556D0" w:rsidRPr="00862AB2" w:rsidRDefault="00B556D0" w:rsidP="00B556D0">
      <w:r>
        <w:t xml:space="preserve">Please use this contact email for questions or improvement suggestions related to the AD-SRT or its supporting information: </w:t>
      </w:r>
      <w:r w:rsidRPr="00B17D38">
        <w:rPr>
          <w:rStyle w:val="Hyperlink"/>
        </w:rPr>
        <w:t>substancereporting.support@iaeg.com</w:t>
      </w:r>
    </w:p>
    <w:p w14:paraId="641976F9" w14:textId="77777777" w:rsidR="00B556D0" w:rsidRDefault="00B556D0" w:rsidP="0095348C">
      <w:pPr>
        <w:pStyle w:val="Heading1"/>
        <w:spacing w:before="240"/>
        <w:ind w:left="360" w:hanging="360"/>
      </w:pPr>
      <w:bookmarkStart w:id="9" w:name="_Toc256000002"/>
      <w:bookmarkStart w:id="10" w:name="_Toc2273031"/>
      <w:bookmarkStart w:id="11" w:name="_Toc516578778"/>
      <w:r>
        <w:t>AD-SRT Forms</w:t>
      </w:r>
      <w:bookmarkEnd w:id="9"/>
      <w:bookmarkEnd w:id="10"/>
    </w:p>
    <w:p w14:paraId="3FF6224C" w14:textId="77777777" w:rsidR="00B556D0" w:rsidRDefault="00B556D0" w:rsidP="00B556D0">
      <w:r>
        <w:t>IAEG currently provides two forms of the AD-SRT.</w:t>
      </w:r>
    </w:p>
    <w:p w14:paraId="608E9067" w14:textId="77777777" w:rsidR="00B556D0" w:rsidRDefault="00B556D0" w:rsidP="00B556D0">
      <w:pPr>
        <w:pStyle w:val="ListBullet"/>
      </w:pPr>
      <w:r>
        <w:t>AD-SRT form with Excel macros (extension “.xlsm”) that are used for data entry facilitating and data checks.</w:t>
      </w:r>
    </w:p>
    <w:p w14:paraId="5846B49B" w14:textId="77777777" w:rsidR="00B556D0" w:rsidRDefault="00B556D0" w:rsidP="00B556D0">
      <w:pPr>
        <w:pStyle w:val="ListBullet"/>
      </w:pPr>
      <w:r>
        <w:t>AD-SRT form without Excel macros (extension “.xlsx”) for companies that do not allow the use of Excel macros.</w:t>
      </w:r>
    </w:p>
    <w:p w14:paraId="2B8B7B72" w14:textId="77777777" w:rsidR="00B556D0" w:rsidRDefault="00B556D0" w:rsidP="00B556D0">
      <w:r>
        <w:t xml:space="preserve">Both forms offer the capability of collecting data </w:t>
      </w:r>
      <w:r w:rsidRPr="007D2347">
        <w:t>compatible</w:t>
      </w:r>
      <w:r>
        <w:t xml:space="preserve"> with the IPC-1754 standard.</w:t>
      </w:r>
    </w:p>
    <w:p w14:paraId="210B95CA" w14:textId="77777777" w:rsidR="00B556D0" w:rsidRDefault="00B556D0" w:rsidP="00B556D0">
      <w:r w:rsidRPr="0057688B">
        <w:rPr>
          <w:u w:val="single"/>
        </w:rPr>
        <w:t>Note</w:t>
      </w:r>
      <w:r>
        <w:rPr>
          <w:u w:val="single"/>
        </w:rPr>
        <w:t>s</w:t>
      </w:r>
      <w:r>
        <w:t>:</w:t>
      </w:r>
    </w:p>
    <w:p w14:paraId="547E23E6" w14:textId="77777777" w:rsidR="00B556D0" w:rsidRDefault="00B556D0" w:rsidP="00B556D0">
      <w:r w:rsidRPr="00311C4F">
        <w:t xml:space="preserve">Data check capabilities could be offered by </w:t>
      </w:r>
      <w:hyperlink r:id="rId16" w:history="1">
        <w:r w:rsidRPr="00311C4F">
          <w:rPr>
            <w:rStyle w:val="Hyperlink"/>
          </w:rPr>
          <w:t xml:space="preserve">third party solution providers </w:t>
        </w:r>
      </w:hyperlink>
      <w:r w:rsidRPr="00311C4F">
        <w:t xml:space="preserve"> tools working on top of the AD-SRT as Excel “add-ins”, for example.</w:t>
      </w:r>
    </w:p>
    <w:p w14:paraId="06340D45" w14:textId="77777777" w:rsidR="00B556D0" w:rsidRDefault="00B556D0" w:rsidP="00B556D0">
      <w:pPr>
        <w:pStyle w:val="Heading1"/>
        <w:ind w:left="360" w:hanging="360"/>
      </w:pPr>
      <w:bookmarkStart w:id="12" w:name="_Toc256000004"/>
      <w:bookmarkStart w:id="13" w:name="_Toc524711263"/>
      <w:bookmarkStart w:id="14" w:name="_Toc2273032"/>
      <w:r>
        <w:lastRenderedPageBreak/>
        <w:t>AD-SRT Data Configuration</w:t>
      </w:r>
      <w:bookmarkEnd w:id="11"/>
      <w:bookmarkEnd w:id="12"/>
      <w:bookmarkEnd w:id="13"/>
      <w:bookmarkEnd w:id="14"/>
    </w:p>
    <w:p w14:paraId="5B1D9811" w14:textId="5F55A0B0" w:rsidR="00B556D0" w:rsidRDefault="00B556D0" w:rsidP="000C224E">
      <w:r>
        <w:t xml:space="preserve">The AD-SRT Tool includes the following data lists, which are applicable to materials and substances AD industry declarations; </w:t>
      </w:r>
      <w:r w:rsidR="000C224E">
        <w:t xml:space="preserve">IAEG authored all work products: </w:t>
      </w:r>
    </w:p>
    <w:p w14:paraId="5EE5B6D9" w14:textId="057F41AE" w:rsidR="000C224E" w:rsidRDefault="000C224E" w:rsidP="00B556D0">
      <w:pPr>
        <w:pStyle w:val="ListBullet"/>
      </w:pPr>
      <w:r>
        <w:t>The AD-Declarable Substance List (AD-DSL)</w:t>
      </w:r>
    </w:p>
    <w:p w14:paraId="195FAAC1" w14:textId="55EF7844" w:rsidR="00B556D0" w:rsidRDefault="00B556D0" w:rsidP="00B556D0">
      <w:pPr>
        <w:pStyle w:val="ListBullet"/>
      </w:pPr>
      <w:r>
        <w:t>The AD-Query List (AD-QL)</w:t>
      </w:r>
    </w:p>
    <w:p w14:paraId="06267B25" w14:textId="77777777" w:rsidR="00B556D0" w:rsidRDefault="00B556D0" w:rsidP="0095348C">
      <w:pPr>
        <w:pStyle w:val="ListBullet"/>
        <w:spacing w:after="120"/>
      </w:pPr>
      <w:r>
        <w:t>Two AD Use Descriptor Lists (AD-UDLs).</w:t>
      </w:r>
    </w:p>
    <w:p w14:paraId="2677B427" w14:textId="03F39A94" w:rsidR="00B556D0" w:rsidRDefault="00B556D0" w:rsidP="00B556D0">
      <w:r>
        <w:t xml:space="preserve">The configuration of the AD-SRT version </w:t>
      </w:r>
      <w:r w:rsidR="0095348C">
        <w:t>2.0</w:t>
      </w:r>
      <w:r>
        <w:t xml:space="preserve"> is similar to the one for version </w:t>
      </w:r>
      <w:r w:rsidR="0095348C">
        <w:t xml:space="preserve">1.2.3, 1.2.2, </w:t>
      </w:r>
      <w:r>
        <w:t>1.2.1, 1.2, 1.1, 1.0, as follows:</w:t>
      </w: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4"/>
        <w:gridCol w:w="1102"/>
        <w:gridCol w:w="1283"/>
        <w:gridCol w:w="4931"/>
      </w:tblGrid>
      <w:tr w:rsidR="00B556D0" w14:paraId="29951E93" w14:textId="77777777" w:rsidTr="00AE67FB">
        <w:trPr>
          <w:trHeight w:val="461"/>
        </w:trPr>
        <w:tc>
          <w:tcPr>
            <w:tcW w:w="1824" w:type="dxa"/>
            <w:tcBorders>
              <w:top w:val="single" w:sz="4" w:space="0" w:color="auto"/>
              <w:left w:val="single" w:sz="4" w:space="0" w:color="auto"/>
              <w:bottom w:val="single" w:sz="4" w:space="0" w:color="auto"/>
              <w:right w:val="single" w:sz="4" w:space="0" w:color="auto"/>
            </w:tcBorders>
            <w:shd w:val="clear" w:color="auto" w:fill="89AC3F"/>
            <w:tcMar>
              <w:top w:w="15" w:type="dxa"/>
              <w:left w:w="108" w:type="dxa"/>
              <w:bottom w:w="0" w:type="dxa"/>
              <w:right w:w="108" w:type="dxa"/>
            </w:tcMar>
            <w:hideMark/>
          </w:tcPr>
          <w:p w14:paraId="5946F0B1" w14:textId="77777777" w:rsidR="00B556D0" w:rsidRPr="00612670" w:rsidRDefault="00B556D0" w:rsidP="00AE67FB">
            <w:r w:rsidRPr="00612670">
              <w:rPr>
                <w:b/>
                <w:bCs/>
              </w:rPr>
              <w:t>Components</w:t>
            </w:r>
          </w:p>
        </w:tc>
        <w:tc>
          <w:tcPr>
            <w:tcW w:w="1102" w:type="dxa"/>
            <w:tcBorders>
              <w:top w:val="single" w:sz="4" w:space="0" w:color="auto"/>
              <w:left w:val="single" w:sz="4" w:space="0" w:color="auto"/>
              <w:bottom w:val="single" w:sz="4" w:space="0" w:color="auto"/>
              <w:right w:val="single" w:sz="4" w:space="0" w:color="auto"/>
            </w:tcBorders>
            <w:shd w:val="clear" w:color="auto" w:fill="89AC3F"/>
            <w:tcMar>
              <w:top w:w="15" w:type="dxa"/>
              <w:left w:w="108" w:type="dxa"/>
              <w:bottom w:w="0" w:type="dxa"/>
              <w:right w:w="108" w:type="dxa"/>
            </w:tcMar>
            <w:hideMark/>
          </w:tcPr>
          <w:p w14:paraId="118C9CCE" w14:textId="77777777" w:rsidR="00B556D0" w:rsidRPr="00612670" w:rsidRDefault="00B556D0" w:rsidP="00AE67FB">
            <w:r w:rsidRPr="00612670">
              <w:rPr>
                <w:b/>
                <w:bCs/>
              </w:rPr>
              <w:t>Format</w:t>
            </w:r>
          </w:p>
        </w:tc>
        <w:tc>
          <w:tcPr>
            <w:tcW w:w="1283" w:type="dxa"/>
            <w:tcBorders>
              <w:top w:val="single" w:sz="4" w:space="0" w:color="auto"/>
              <w:left w:val="single" w:sz="4" w:space="0" w:color="auto"/>
              <w:bottom w:val="single" w:sz="4" w:space="0" w:color="auto"/>
              <w:right w:val="single" w:sz="4" w:space="0" w:color="auto"/>
            </w:tcBorders>
            <w:shd w:val="clear" w:color="auto" w:fill="89AC3F"/>
            <w:tcMar>
              <w:top w:w="15" w:type="dxa"/>
              <w:left w:w="108" w:type="dxa"/>
              <w:bottom w:w="0" w:type="dxa"/>
              <w:right w:w="108" w:type="dxa"/>
            </w:tcMar>
            <w:hideMark/>
          </w:tcPr>
          <w:p w14:paraId="5A6850E5" w14:textId="77777777" w:rsidR="00B556D0" w:rsidRPr="00612670" w:rsidRDefault="00B556D0" w:rsidP="00AE67FB">
            <w:r w:rsidRPr="00612670">
              <w:rPr>
                <w:b/>
                <w:bCs/>
              </w:rPr>
              <w:t>Version</w:t>
            </w:r>
          </w:p>
        </w:tc>
        <w:tc>
          <w:tcPr>
            <w:tcW w:w="4931" w:type="dxa"/>
            <w:tcBorders>
              <w:top w:val="single" w:sz="4" w:space="0" w:color="auto"/>
              <w:left w:val="single" w:sz="4" w:space="0" w:color="auto"/>
              <w:bottom w:val="single" w:sz="4" w:space="0" w:color="auto"/>
              <w:right w:val="single" w:sz="4" w:space="0" w:color="auto"/>
            </w:tcBorders>
            <w:shd w:val="clear" w:color="auto" w:fill="89AC3F"/>
            <w:tcMar>
              <w:top w:w="15" w:type="dxa"/>
              <w:left w:w="108" w:type="dxa"/>
              <w:bottom w:w="0" w:type="dxa"/>
              <w:right w:w="108" w:type="dxa"/>
            </w:tcMar>
            <w:hideMark/>
          </w:tcPr>
          <w:p w14:paraId="6EF434A9" w14:textId="77777777" w:rsidR="00B556D0" w:rsidRPr="00612670" w:rsidRDefault="00B556D0" w:rsidP="00AE67FB">
            <w:r w:rsidRPr="00612670">
              <w:rPr>
                <w:b/>
                <w:bCs/>
              </w:rPr>
              <w:t>Description</w:t>
            </w:r>
          </w:p>
        </w:tc>
      </w:tr>
      <w:tr w:rsidR="00B556D0" w14:paraId="25885645" w14:textId="77777777" w:rsidTr="00AE67FB">
        <w:trPr>
          <w:trHeight w:val="461"/>
        </w:trPr>
        <w:tc>
          <w:tcPr>
            <w:tcW w:w="1824" w:type="dxa"/>
            <w:tcBorders>
              <w:top w:val="single" w:sz="4" w:space="0" w:color="auto"/>
            </w:tcBorders>
            <w:shd w:val="clear" w:color="auto" w:fill="C2D69B" w:themeFill="accent3" w:themeFillTint="99"/>
            <w:tcMar>
              <w:top w:w="15" w:type="dxa"/>
              <w:left w:w="108" w:type="dxa"/>
              <w:bottom w:w="0" w:type="dxa"/>
              <w:right w:w="108" w:type="dxa"/>
            </w:tcMar>
            <w:hideMark/>
          </w:tcPr>
          <w:p w14:paraId="58C2A586" w14:textId="77777777" w:rsidR="00B556D0" w:rsidRPr="00B17D38" w:rsidRDefault="00B556D0" w:rsidP="00AE67FB">
            <w:r w:rsidRPr="00B17D38">
              <w:rPr>
                <w:b/>
                <w:bCs/>
              </w:rPr>
              <w:t>AD-SRT</w:t>
            </w:r>
          </w:p>
        </w:tc>
        <w:tc>
          <w:tcPr>
            <w:tcW w:w="1102" w:type="dxa"/>
            <w:tcBorders>
              <w:top w:val="single" w:sz="4" w:space="0" w:color="auto"/>
            </w:tcBorders>
            <w:shd w:val="clear" w:color="auto" w:fill="DAE3CE"/>
            <w:tcMar>
              <w:top w:w="15" w:type="dxa"/>
              <w:left w:w="108" w:type="dxa"/>
              <w:bottom w:w="0" w:type="dxa"/>
              <w:right w:w="108" w:type="dxa"/>
            </w:tcMar>
            <w:hideMark/>
          </w:tcPr>
          <w:p w14:paraId="3E54E164" w14:textId="77777777" w:rsidR="00B556D0" w:rsidRPr="008E0140" w:rsidRDefault="00B556D0" w:rsidP="00AE67FB">
            <w:r w:rsidRPr="00B107DC">
              <w:t>Excel</w:t>
            </w:r>
          </w:p>
        </w:tc>
        <w:tc>
          <w:tcPr>
            <w:tcW w:w="1283" w:type="dxa"/>
            <w:tcBorders>
              <w:top w:val="single" w:sz="4" w:space="0" w:color="auto"/>
            </w:tcBorders>
            <w:shd w:val="clear" w:color="auto" w:fill="DAE3CE"/>
            <w:tcMar>
              <w:top w:w="15" w:type="dxa"/>
              <w:left w:w="108" w:type="dxa"/>
              <w:bottom w:w="0" w:type="dxa"/>
              <w:right w:w="108" w:type="dxa"/>
            </w:tcMar>
            <w:hideMark/>
          </w:tcPr>
          <w:p w14:paraId="59579FC1" w14:textId="2D889E85" w:rsidR="00B556D0" w:rsidRPr="00B107DC" w:rsidRDefault="0095348C" w:rsidP="00AE67FB">
            <w:r>
              <w:t>2.0</w:t>
            </w:r>
          </w:p>
        </w:tc>
        <w:tc>
          <w:tcPr>
            <w:tcW w:w="4931" w:type="dxa"/>
            <w:tcBorders>
              <w:top w:val="single" w:sz="4" w:space="0" w:color="auto"/>
            </w:tcBorders>
            <w:shd w:val="clear" w:color="auto" w:fill="DAE3CE"/>
            <w:tcMar>
              <w:top w:w="15" w:type="dxa"/>
              <w:left w:w="108" w:type="dxa"/>
              <w:bottom w:w="0" w:type="dxa"/>
              <w:right w:w="108" w:type="dxa"/>
            </w:tcMar>
            <w:hideMark/>
          </w:tcPr>
          <w:p w14:paraId="11989492" w14:textId="2341A8E0" w:rsidR="00B556D0" w:rsidRPr="00B17D38" w:rsidRDefault="00B556D0" w:rsidP="00AE67FB">
            <w:r w:rsidRPr="00B17D38">
              <w:t>Spreadsheet with macros</w:t>
            </w:r>
            <w:r w:rsidR="0095348C">
              <w:t xml:space="preserve"> &amp; with</w:t>
            </w:r>
            <w:r w:rsidR="003D0C2F">
              <w:t>out macro</w:t>
            </w:r>
          </w:p>
        </w:tc>
      </w:tr>
      <w:tr w:rsidR="00B556D0" w14:paraId="5D9969E7" w14:textId="77777777" w:rsidTr="00AE67FB">
        <w:trPr>
          <w:trHeight w:val="461"/>
        </w:trPr>
        <w:tc>
          <w:tcPr>
            <w:tcW w:w="1824" w:type="dxa"/>
            <w:shd w:val="clear" w:color="auto" w:fill="C2D69B" w:themeFill="accent3" w:themeFillTint="99"/>
            <w:tcMar>
              <w:top w:w="15" w:type="dxa"/>
              <w:left w:w="108" w:type="dxa"/>
              <w:bottom w:w="0" w:type="dxa"/>
              <w:right w:w="108" w:type="dxa"/>
            </w:tcMar>
            <w:hideMark/>
          </w:tcPr>
          <w:p w14:paraId="7A625580" w14:textId="77777777" w:rsidR="00B556D0" w:rsidRPr="00B17D38" w:rsidRDefault="00B556D0" w:rsidP="00AE67FB">
            <w:r w:rsidRPr="00B17D38">
              <w:rPr>
                <w:b/>
                <w:bCs/>
              </w:rPr>
              <w:t>AD-DSL</w:t>
            </w:r>
          </w:p>
        </w:tc>
        <w:tc>
          <w:tcPr>
            <w:tcW w:w="1102" w:type="dxa"/>
            <w:shd w:val="clear" w:color="auto" w:fill="EDF1E8"/>
            <w:tcMar>
              <w:top w:w="15" w:type="dxa"/>
              <w:left w:w="108" w:type="dxa"/>
              <w:bottom w:w="0" w:type="dxa"/>
              <w:right w:w="108" w:type="dxa"/>
            </w:tcMar>
            <w:hideMark/>
          </w:tcPr>
          <w:p w14:paraId="297717CC" w14:textId="77777777" w:rsidR="00B556D0" w:rsidRPr="00B17D38" w:rsidRDefault="00B556D0" w:rsidP="00AE67FB">
            <w:r w:rsidRPr="00B17D38">
              <w:t>XML</w:t>
            </w:r>
          </w:p>
        </w:tc>
        <w:tc>
          <w:tcPr>
            <w:tcW w:w="1283" w:type="dxa"/>
            <w:shd w:val="clear" w:color="auto" w:fill="EDF1E8"/>
            <w:tcMar>
              <w:top w:w="15" w:type="dxa"/>
              <w:left w:w="108" w:type="dxa"/>
              <w:bottom w:w="0" w:type="dxa"/>
              <w:right w:w="108" w:type="dxa"/>
            </w:tcMar>
            <w:hideMark/>
          </w:tcPr>
          <w:p w14:paraId="58D8B02B" w14:textId="02AFD314" w:rsidR="00B556D0" w:rsidRPr="00B17D38" w:rsidRDefault="00E02ABD" w:rsidP="00AE67FB">
            <w:r>
              <w:t>7.</w:t>
            </w:r>
            <w:r w:rsidR="00B556D0">
              <w:t>0</w:t>
            </w:r>
          </w:p>
        </w:tc>
        <w:tc>
          <w:tcPr>
            <w:tcW w:w="4931" w:type="dxa"/>
            <w:shd w:val="clear" w:color="auto" w:fill="EDF1E8"/>
            <w:tcMar>
              <w:top w:w="15" w:type="dxa"/>
              <w:left w:w="108" w:type="dxa"/>
              <w:bottom w:w="0" w:type="dxa"/>
              <w:right w:w="108" w:type="dxa"/>
            </w:tcMar>
            <w:hideMark/>
          </w:tcPr>
          <w:p w14:paraId="0BEB5145" w14:textId="77777777" w:rsidR="00B556D0" w:rsidRPr="00B17D38" w:rsidRDefault="00B556D0" w:rsidP="00AE67FB">
            <w:r w:rsidRPr="00B17D38">
              <w:t>For IP</w:t>
            </w:r>
            <w:r>
              <w:t>C-1754 declaration classes E,</w:t>
            </w:r>
            <w:r w:rsidRPr="00B17D38">
              <w:t xml:space="preserve"> </w:t>
            </w:r>
            <w:r>
              <w:t>E</w:t>
            </w:r>
            <w:r w:rsidRPr="00B17D38">
              <w:t>F</w:t>
            </w:r>
            <w:r>
              <w:t xml:space="preserve"> and EG</w:t>
            </w:r>
          </w:p>
        </w:tc>
      </w:tr>
      <w:tr w:rsidR="00B556D0" w14:paraId="4B0023B7" w14:textId="77777777" w:rsidTr="00AE67FB">
        <w:trPr>
          <w:trHeight w:val="739"/>
        </w:trPr>
        <w:tc>
          <w:tcPr>
            <w:tcW w:w="1824" w:type="dxa"/>
            <w:shd w:val="clear" w:color="auto" w:fill="C2D69B" w:themeFill="accent3" w:themeFillTint="99"/>
            <w:tcMar>
              <w:top w:w="15" w:type="dxa"/>
              <w:left w:w="108" w:type="dxa"/>
              <w:bottom w:w="0" w:type="dxa"/>
              <w:right w:w="108" w:type="dxa"/>
            </w:tcMar>
            <w:hideMark/>
          </w:tcPr>
          <w:p w14:paraId="6180B8B4" w14:textId="77777777" w:rsidR="00B556D0" w:rsidRPr="00B17D38" w:rsidRDefault="00B556D0" w:rsidP="00AE67FB">
            <w:r w:rsidRPr="00B17D38">
              <w:rPr>
                <w:b/>
                <w:bCs/>
              </w:rPr>
              <w:t>AD-QL</w:t>
            </w:r>
          </w:p>
        </w:tc>
        <w:tc>
          <w:tcPr>
            <w:tcW w:w="1102" w:type="dxa"/>
            <w:shd w:val="clear" w:color="auto" w:fill="DAE3CE"/>
            <w:tcMar>
              <w:top w:w="15" w:type="dxa"/>
              <w:left w:w="108" w:type="dxa"/>
              <w:bottom w:w="0" w:type="dxa"/>
              <w:right w:w="108" w:type="dxa"/>
            </w:tcMar>
            <w:hideMark/>
          </w:tcPr>
          <w:p w14:paraId="223ABFE9" w14:textId="77777777" w:rsidR="00B556D0" w:rsidRPr="00B17D38" w:rsidRDefault="00B556D0" w:rsidP="00AE67FB">
            <w:r w:rsidRPr="00B17D38">
              <w:t>XML</w:t>
            </w:r>
          </w:p>
        </w:tc>
        <w:tc>
          <w:tcPr>
            <w:tcW w:w="1283" w:type="dxa"/>
            <w:shd w:val="clear" w:color="auto" w:fill="DAE3CE"/>
            <w:tcMar>
              <w:top w:w="15" w:type="dxa"/>
              <w:left w:w="108" w:type="dxa"/>
              <w:bottom w:w="0" w:type="dxa"/>
              <w:right w:w="108" w:type="dxa"/>
            </w:tcMar>
            <w:hideMark/>
          </w:tcPr>
          <w:p w14:paraId="42E12469" w14:textId="77777777" w:rsidR="00B556D0" w:rsidRPr="00B17D38" w:rsidRDefault="00B556D0" w:rsidP="00AE67FB">
            <w:r>
              <w:t>1.0</w:t>
            </w:r>
          </w:p>
        </w:tc>
        <w:tc>
          <w:tcPr>
            <w:tcW w:w="4931" w:type="dxa"/>
            <w:shd w:val="clear" w:color="auto" w:fill="DAE3CE"/>
            <w:tcMar>
              <w:top w:w="15" w:type="dxa"/>
              <w:left w:w="108" w:type="dxa"/>
              <w:bottom w:w="0" w:type="dxa"/>
              <w:right w:w="108" w:type="dxa"/>
            </w:tcMar>
            <w:hideMark/>
          </w:tcPr>
          <w:p w14:paraId="523EB705" w14:textId="77777777" w:rsidR="00B556D0" w:rsidRPr="00B17D38" w:rsidRDefault="00B556D0" w:rsidP="00AE67FB">
            <w:r>
              <w:t>Query List including</w:t>
            </w:r>
            <w:r w:rsidRPr="00B17D38">
              <w:t xml:space="preserve"> quer</w:t>
            </w:r>
            <w:r>
              <w:t>ies for Product Statement for class E</w:t>
            </w:r>
          </w:p>
        </w:tc>
      </w:tr>
      <w:tr w:rsidR="00B556D0" w14:paraId="6614FCBA" w14:textId="77777777" w:rsidTr="00AE67FB">
        <w:trPr>
          <w:trHeight w:val="420"/>
        </w:trPr>
        <w:tc>
          <w:tcPr>
            <w:tcW w:w="1824" w:type="dxa"/>
            <w:shd w:val="clear" w:color="auto" w:fill="C2D69B" w:themeFill="accent3" w:themeFillTint="99"/>
            <w:tcMar>
              <w:top w:w="15" w:type="dxa"/>
              <w:left w:w="108" w:type="dxa"/>
              <w:bottom w:w="0" w:type="dxa"/>
              <w:right w:w="108" w:type="dxa"/>
            </w:tcMar>
            <w:hideMark/>
          </w:tcPr>
          <w:p w14:paraId="5F6708B5" w14:textId="77777777" w:rsidR="00B556D0" w:rsidRPr="00B17D38" w:rsidRDefault="00B556D0" w:rsidP="00AE67FB">
            <w:r>
              <w:rPr>
                <w:b/>
                <w:bCs/>
              </w:rPr>
              <w:t>MF-UDL</w:t>
            </w:r>
          </w:p>
        </w:tc>
        <w:tc>
          <w:tcPr>
            <w:tcW w:w="1102" w:type="dxa"/>
            <w:shd w:val="clear" w:color="auto" w:fill="EDF1E8"/>
            <w:tcMar>
              <w:top w:w="15" w:type="dxa"/>
              <w:left w:w="108" w:type="dxa"/>
              <w:bottom w:w="0" w:type="dxa"/>
              <w:right w:w="108" w:type="dxa"/>
            </w:tcMar>
            <w:hideMark/>
          </w:tcPr>
          <w:p w14:paraId="0EC5F0CF" w14:textId="77777777" w:rsidR="00B556D0" w:rsidRPr="00B17D38" w:rsidRDefault="00B556D0" w:rsidP="00AE67FB">
            <w:r w:rsidRPr="00B17D38">
              <w:t>XML</w:t>
            </w:r>
          </w:p>
        </w:tc>
        <w:tc>
          <w:tcPr>
            <w:tcW w:w="1283" w:type="dxa"/>
            <w:shd w:val="clear" w:color="auto" w:fill="EDF1E8"/>
            <w:tcMar>
              <w:top w:w="15" w:type="dxa"/>
              <w:left w:w="108" w:type="dxa"/>
              <w:bottom w:w="0" w:type="dxa"/>
              <w:right w:w="108" w:type="dxa"/>
            </w:tcMar>
            <w:hideMark/>
          </w:tcPr>
          <w:p w14:paraId="5AB3DBA3" w14:textId="77777777" w:rsidR="00B556D0" w:rsidRPr="00B17D38" w:rsidRDefault="00B556D0" w:rsidP="00AE67FB">
            <w:r>
              <w:t>1.0</w:t>
            </w:r>
          </w:p>
        </w:tc>
        <w:tc>
          <w:tcPr>
            <w:tcW w:w="4931" w:type="dxa"/>
            <w:shd w:val="clear" w:color="auto" w:fill="EDF1E8"/>
            <w:tcMar>
              <w:top w:w="15" w:type="dxa"/>
              <w:left w:w="108" w:type="dxa"/>
              <w:bottom w:w="0" w:type="dxa"/>
              <w:right w:w="108" w:type="dxa"/>
            </w:tcMar>
            <w:hideMark/>
          </w:tcPr>
          <w:p w14:paraId="40FDDD06" w14:textId="77777777" w:rsidR="00B556D0" w:rsidRPr="00B17D38" w:rsidRDefault="00B556D0" w:rsidP="00AE67FB">
            <w:r>
              <w:t>Use Descriptor List for Material Function (MF)</w:t>
            </w:r>
          </w:p>
        </w:tc>
      </w:tr>
      <w:tr w:rsidR="00B556D0" w14:paraId="56581DFA" w14:textId="77777777" w:rsidTr="00AE67FB">
        <w:trPr>
          <w:trHeight w:val="420"/>
        </w:trPr>
        <w:tc>
          <w:tcPr>
            <w:tcW w:w="1824" w:type="dxa"/>
            <w:shd w:val="clear" w:color="auto" w:fill="C2D69B" w:themeFill="accent3" w:themeFillTint="99"/>
            <w:tcMar>
              <w:top w:w="15" w:type="dxa"/>
              <w:left w:w="108" w:type="dxa"/>
              <w:bottom w:w="0" w:type="dxa"/>
              <w:right w:w="108" w:type="dxa"/>
            </w:tcMar>
          </w:tcPr>
          <w:p w14:paraId="4E306BB2" w14:textId="77777777" w:rsidR="00B556D0" w:rsidRDefault="00B556D0" w:rsidP="00AE67FB">
            <w:pPr>
              <w:rPr>
                <w:b/>
                <w:bCs/>
              </w:rPr>
            </w:pPr>
            <w:r>
              <w:rPr>
                <w:b/>
                <w:bCs/>
              </w:rPr>
              <w:t>SF-UDL</w:t>
            </w:r>
          </w:p>
        </w:tc>
        <w:tc>
          <w:tcPr>
            <w:tcW w:w="1102" w:type="dxa"/>
            <w:shd w:val="clear" w:color="auto" w:fill="EDF1E8"/>
            <w:tcMar>
              <w:top w:w="15" w:type="dxa"/>
              <w:left w:w="108" w:type="dxa"/>
              <w:bottom w:w="0" w:type="dxa"/>
              <w:right w:w="108" w:type="dxa"/>
            </w:tcMar>
          </w:tcPr>
          <w:p w14:paraId="32A07CBB" w14:textId="77777777" w:rsidR="00B556D0" w:rsidRPr="00B17D38" w:rsidRDefault="00B556D0" w:rsidP="00AE67FB">
            <w:r>
              <w:t>XML</w:t>
            </w:r>
          </w:p>
        </w:tc>
        <w:tc>
          <w:tcPr>
            <w:tcW w:w="1283" w:type="dxa"/>
            <w:shd w:val="clear" w:color="auto" w:fill="EDF1E8"/>
            <w:tcMar>
              <w:top w:w="15" w:type="dxa"/>
              <w:left w:w="108" w:type="dxa"/>
              <w:bottom w:w="0" w:type="dxa"/>
              <w:right w:w="108" w:type="dxa"/>
            </w:tcMar>
          </w:tcPr>
          <w:p w14:paraId="51DDEF71" w14:textId="77777777" w:rsidR="00B556D0" w:rsidRDefault="00B556D0" w:rsidP="00AE67FB">
            <w:r>
              <w:t>1.0</w:t>
            </w:r>
          </w:p>
        </w:tc>
        <w:tc>
          <w:tcPr>
            <w:tcW w:w="4931" w:type="dxa"/>
            <w:shd w:val="clear" w:color="auto" w:fill="EDF1E8"/>
            <w:tcMar>
              <w:top w:w="15" w:type="dxa"/>
              <w:left w:w="108" w:type="dxa"/>
              <w:bottom w:w="0" w:type="dxa"/>
              <w:right w:w="108" w:type="dxa"/>
            </w:tcMar>
          </w:tcPr>
          <w:p w14:paraId="4A37B644" w14:textId="77777777" w:rsidR="00B556D0" w:rsidRDefault="00B556D0" w:rsidP="00AE67FB">
            <w:r>
              <w:t>Use Descriptor List for Substance Function (SF)</w:t>
            </w:r>
          </w:p>
        </w:tc>
      </w:tr>
    </w:tbl>
    <w:p w14:paraId="0D82E068" w14:textId="77777777" w:rsidR="00B556D0" w:rsidRDefault="00B556D0" w:rsidP="0095348C">
      <w:pPr>
        <w:spacing w:after="120"/>
      </w:pPr>
    </w:p>
    <w:p w14:paraId="70E7AE6D" w14:textId="77777777" w:rsidR="00B556D0" w:rsidRDefault="00B556D0" w:rsidP="00B556D0">
      <w:r>
        <w:t>As required by the IPC-1754 standard, each data list is identified with:</w:t>
      </w:r>
    </w:p>
    <w:p w14:paraId="031B71BB" w14:textId="77777777" w:rsidR="00B556D0" w:rsidRDefault="00B556D0" w:rsidP="00B556D0">
      <w:pPr>
        <w:pStyle w:val="ListBullet"/>
      </w:pPr>
      <w:r>
        <w:t>An authority and a unique identity (ID).</w:t>
      </w:r>
    </w:p>
    <w:p w14:paraId="1F0B37D8" w14:textId="3C70F1DD" w:rsidR="00E02ABD" w:rsidRDefault="00B556D0" w:rsidP="0095348C">
      <w:pPr>
        <w:pStyle w:val="ListBullet"/>
        <w:spacing w:after="120"/>
      </w:pPr>
      <w:r>
        <w:t>A revision number and a revision date.</w:t>
      </w:r>
    </w:p>
    <w:p w14:paraId="336F98F0" w14:textId="3C542BF3" w:rsidR="00B556D0" w:rsidRDefault="00B556D0" w:rsidP="00B556D0">
      <w:r w:rsidRPr="0057688B">
        <w:t>Here are the identifications of the AD-DSL and AD-QL lists that appear in AD-SRT tab #1:</w:t>
      </w:r>
    </w:p>
    <w:tbl>
      <w:tblPr>
        <w:tblW w:w="7993" w:type="dxa"/>
        <w:tblInd w:w="108" w:type="dxa"/>
        <w:tblLook w:val="04A0" w:firstRow="1" w:lastRow="0" w:firstColumn="1" w:lastColumn="0" w:noHBand="0" w:noVBand="1"/>
      </w:tblPr>
      <w:tblGrid>
        <w:gridCol w:w="1800"/>
        <w:gridCol w:w="5850"/>
        <w:gridCol w:w="343"/>
      </w:tblGrid>
      <w:tr w:rsidR="00B556D0" w14:paraId="64EBCE26" w14:textId="77777777" w:rsidTr="00AE67FB">
        <w:trPr>
          <w:trHeight w:val="420"/>
        </w:trPr>
        <w:tc>
          <w:tcPr>
            <w:tcW w:w="7993" w:type="dxa"/>
            <w:gridSpan w:val="3"/>
            <w:tcBorders>
              <w:top w:val="nil"/>
              <w:left w:val="nil"/>
              <w:bottom w:val="nil"/>
              <w:right w:val="nil"/>
            </w:tcBorders>
            <w:shd w:val="clear" w:color="000000" w:fill="8DB4E2"/>
            <w:noWrap/>
            <w:vAlign w:val="bottom"/>
            <w:hideMark/>
          </w:tcPr>
          <w:p w14:paraId="5B4AF026" w14:textId="77777777" w:rsidR="00B556D0" w:rsidRPr="006C0D1C" w:rsidRDefault="00B556D0" w:rsidP="00AE67FB">
            <w:pPr>
              <w:rPr>
                <w:rFonts w:ascii="Calibri" w:eastAsia="Times New Roman" w:hAnsi="Calibri" w:cs="Times New Roman"/>
                <w:b/>
                <w:bCs/>
                <w:color w:val="000000"/>
                <w:sz w:val="28"/>
                <w:szCs w:val="32"/>
              </w:rPr>
            </w:pPr>
            <w:r w:rsidRPr="006C0D1C">
              <w:rPr>
                <w:rFonts w:ascii="Calibri" w:eastAsia="Times New Roman" w:hAnsi="Calibri" w:cs="Times New Roman"/>
                <w:b/>
                <w:bCs/>
                <w:color w:val="000000"/>
                <w:sz w:val="28"/>
                <w:szCs w:val="32"/>
              </w:rPr>
              <w:t>Aerospace and Defence Declarable Substances List [AD-DSL]</w:t>
            </w:r>
          </w:p>
        </w:tc>
      </w:tr>
      <w:tr w:rsidR="00B556D0" w14:paraId="0197AF8D" w14:textId="77777777" w:rsidTr="00AE67FB">
        <w:trPr>
          <w:trHeight w:val="300"/>
        </w:trPr>
        <w:tc>
          <w:tcPr>
            <w:tcW w:w="1800" w:type="dxa"/>
            <w:tcBorders>
              <w:top w:val="nil"/>
              <w:left w:val="nil"/>
              <w:bottom w:val="nil"/>
              <w:right w:val="nil"/>
            </w:tcBorders>
            <w:shd w:val="clear" w:color="000000" w:fill="FFFFFF"/>
            <w:noWrap/>
            <w:vAlign w:val="bottom"/>
            <w:hideMark/>
          </w:tcPr>
          <w:p w14:paraId="45507AAB" w14:textId="77777777" w:rsidR="00B556D0" w:rsidRPr="006D7FC4" w:rsidRDefault="00B556D0" w:rsidP="00AE67FB">
            <w:pPr>
              <w:rPr>
                <w:rFonts w:ascii="Calibri" w:eastAsia="Times New Roman" w:hAnsi="Calibri" w:cs="Times New Roman"/>
                <w:color w:val="000000"/>
                <w:sz w:val="24"/>
              </w:rPr>
            </w:pPr>
            <w:r w:rsidRPr="006D7FC4">
              <w:rPr>
                <w:rFonts w:ascii="Calibri" w:eastAsia="Times New Roman" w:hAnsi="Calibri" w:cs="Times New Roman"/>
                <w:color w:val="000000"/>
                <w:sz w:val="24"/>
              </w:rPr>
              <w:t> </w:t>
            </w:r>
          </w:p>
        </w:tc>
        <w:tc>
          <w:tcPr>
            <w:tcW w:w="5850" w:type="dxa"/>
            <w:tcBorders>
              <w:top w:val="nil"/>
              <w:left w:val="nil"/>
              <w:bottom w:val="nil"/>
              <w:right w:val="nil"/>
            </w:tcBorders>
            <w:shd w:val="clear" w:color="000000" w:fill="FFFFFF"/>
            <w:noWrap/>
            <w:vAlign w:val="bottom"/>
            <w:hideMark/>
          </w:tcPr>
          <w:p w14:paraId="3B7EDD6B" w14:textId="77777777" w:rsidR="00B556D0" w:rsidRPr="006D7FC4" w:rsidRDefault="00B556D0" w:rsidP="00AE67FB">
            <w:pPr>
              <w:rPr>
                <w:rFonts w:ascii="Calibri" w:eastAsia="Times New Roman" w:hAnsi="Calibri" w:cs="Times New Roman"/>
                <w:color w:val="000000"/>
                <w:sz w:val="24"/>
              </w:rPr>
            </w:pPr>
            <w:r w:rsidRPr="006D7FC4">
              <w:rPr>
                <w:rFonts w:ascii="Calibri" w:eastAsia="Times New Roman" w:hAnsi="Calibri" w:cs="Times New Roman"/>
                <w:color w:val="000000"/>
                <w:sz w:val="24"/>
              </w:rPr>
              <w:t> </w:t>
            </w:r>
          </w:p>
        </w:tc>
        <w:tc>
          <w:tcPr>
            <w:tcW w:w="343" w:type="dxa"/>
            <w:tcBorders>
              <w:top w:val="nil"/>
              <w:left w:val="nil"/>
              <w:bottom w:val="nil"/>
              <w:right w:val="nil"/>
            </w:tcBorders>
            <w:shd w:val="clear" w:color="000000" w:fill="FFFFFF"/>
            <w:noWrap/>
            <w:vAlign w:val="bottom"/>
            <w:hideMark/>
          </w:tcPr>
          <w:p w14:paraId="0D012FE9" w14:textId="77777777" w:rsidR="00B556D0" w:rsidRPr="006D7FC4" w:rsidRDefault="00B556D0" w:rsidP="00AE67FB">
            <w:pPr>
              <w:rPr>
                <w:rFonts w:ascii="Calibri" w:eastAsia="Times New Roman" w:hAnsi="Calibri" w:cs="Times New Roman"/>
                <w:i/>
                <w:iCs/>
                <w:color w:val="000000"/>
                <w:sz w:val="24"/>
              </w:rPr>
            </w:pPr>
            <w:r w:rsidRPr="006D7FC4">
              <w:rPr>
                <w:rFonts w:ascii="Calibri" w:eastAsia="Times New Roman" w:hAnsi="Calibri" w:cs="Times New Roman"/>
                <w:i/>
                <w:iCs/>
                <w:color w:val="000000"/>
                <w:sz w:val="24"/>
              </w:rPr>
              <w:t> </w:t>
            </w:r>
          </w:p>
        </w:tc>
      </w:tr>
      <w:tr w:rsidR="00B556D0" w14:paraId="0756F372" w14:textId="77777777" w:rsidTr="00AE67FB">
        <w:trPr>
          <w:trHeight w:val="375"/>
        </w:trPr>
        <w:tc>
          <w:tcPr>
            <w:tcW w:w="1800" w:type="dxa"/>
            <w:tcBorders>
              <w:top w:val="nil"/>
              <w:left w:val="nil"/>
              <w:bottom w:val="nil"/>
              <w:right w:val="nil"/>
            </w:tcBorders>
            <w:shd w:val="clear" w:color="000000" w:fill="FFFFFF"/>
            <w:noWrap/>
            <w:vAlign w:val="bottom"/>
            <w:hideMark/>
          </w:tcPr>
          <w:p w14:paraId="333666A7" w14:textId="77777777" w:rsidR="00B556D0" w:rsidRPr="006D7FC4" w:rsidRDefault="00B556D0" w:rsidP="00AE67FB">
            <w:pPr>
              <w:jc w:val="right"/>
              <w:rPr>
                <w:rFonts w:ascii="Calibri" w:eastAsia="Times New Roman" w:hAnsi="Calibri" w:cs="Times New Roman"/>
                <w:b/>
                <w:bCs/>
                <w:color w:val="000000"/>
                <w:sz w:val="24"/>
                <w:szCs w:val="24"/>
              </w:rPr>
            </w:pPr>
            <w:r w:rsidRPr="006D7FC4">
              <w:rPr>
                <w:rFonts w:ascii="Calibri" w:eastAsia="Times New Roman" w:hAnsi="Calibri" w:cs="Times New Roman"/>
                <w:b/>
                <w:bCs/>
                <w:color w:val="000000"/>
                <w:sz w:val="24"/>
                <w:szCs w:val="24"/>
              </w:rPr>
              <w:t>Version*</w:t>
            </w:r>
          </w:p>
        </w:tc>
        <w:tc>
          <w:tcPr>
            <w:tcW w:w="5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0CD183" w14:textId="76E2A36E" w:rsidR="00B556D0" w:rsidRPr="005D44D9" w:rsidRDefault="00E02ABD" w:rsidP="00AE67FB">
            <w:pPr>
              <w:rPr>
                <w:rFonts w:ascii="Calibri" w:eastAsia="Times New Roman" w:hAnsi="Calibri" w:cs="Times New Roman"/>
                <w:b/>
                <w:bCs/>
                <w:color w:val="76933C"/>
                <w:sz w:val="24"/>
                <w:szCs w:val="28"/>
              </w:rPr>
            </w:pPr>
            <w:r>
              <w:rPr>
                <w:rFonts w:ascii="Calibri" w:eastAsia="Times New Roman" w:hAnsi="Calibri" w:cs="Times New Roman"/>
                <w:b/>
                <w:bCs/>
                <w:color w:val="76933C"/>
                <w:sz w:val="24"/>
                <w:szCs w:val="28"/>
              </w:rPr>
              <w:t>7</w:t>
            </w:r>
            <w:r w:rsidRPr="00E02ABD">
              <w:rPr>
                <w:rFonts w:ascii="Calibri" w:eastAsia="Times New Roman" w:hAnsi="Calibri" w:cs="Times New Roman"/>
                <w:b/>
                <w:bCs/>
                <w:color w:val="76933C"/>
                <w:sz w:val="24"/>
                <w:szCs w:val="28"/>
              </w:rPr>
              <w:t>.0</w:t>
            </w:r>
          </w:p>
        </w:tc>
        <w:tc>
          <w:tcPr>
            <w:tcW w:w="343" w:type="dxa"/>
            <w:tcBorders>
              <w:top w:val="nil"/>
              <w:left w:val="nil"/>
              <w:bottom w:val="nil"/>
              <w:right w:val="nil"/>
            </w:tcBorders>
            <w:shd w:val="clear" w:color="000000" w:fill="FFFFFF"/>
            <w:noWrap/>
            <w:vAlign w:val="bottom"/>
            <w:hideMark/>
          </w:tcPr>
          <w:p w14:paraId="0BCE6074" w14:textId="77777777" w:rsidR="00B556D0" w:rsidRPr="006D7FC4" w:rsidRDefault="00B556D0" w:rsidP="00AE67FB">
            <w:pPr>
              <w:rPr>
                <w:rFonts w:ascii="Calibri" w:eastAsia="Times New Roman" w:hAnsi="Calibri" w:cs="Times New Roman"/>
                <w:i/>
                <w:iCs/>
                <w:color w:val="000000"/>
                <w:sz w:val="24"/>
              </w:rPr>
            </w:pPr>
            <w:r w:rsidRPr="006D7FC4">
              <w:rPr>
                <w:rFonts w:ascii="Calibri" w:eastAsia="Times New Roman" w:hAnsi="Calibri" w:cs="Times New Roman"/>
                <w:i/>
                <w:iCs/>
                <w:color w:val="000000"/>
                <w:sz w:val="24"/>
              </w:rPr>
              <w:t> </w:t>
            </w:r>
          </w:p>
        </w:tc>
      </w:tr>
      <w:tr w:rsidR="00B556D0" w14:paraId="2DAD00FE" w14:textId="77777777" w:rsidTr="00AE67FB">
        <w:trPr>
          <w:trHeight w:val="375"/>
        </w:trPr>
        <w:tc>
          <w:tcPr>
            <w:tcW w:w="1800" w:type="dxa"/>
            <w:tcBorders>
              <w:top w:val="nil"/>
              <w:left w:val="nil"/>
              <w:bottom w:val="nil"/>
              <w:right w:val="nil"/>
            </w:tcBorders>
            <w:shd w:val="clear" w:color="000000" w:fill="FFFFFF"/>
            <w:noWrap/>
            <w:vAlign w:val="bottom"/>
            <w:hideMark/>
          </w:tcPr>
          <w:p w14:paraId="2DC623D2" w14:textId="77777777" w:rsidR="00B556D0" w:rsidRPr="006D7FC4" w:rsidRDefault="00B556D0" w:rsidP="00AE67FB">
            <w:pPr>
              <w:jc w:val="right"/>
              <w:rPr>
                <w:rFonts w:ascii="Calibri" w:eastAsia="Times New Roman" w:hAnsi="Calibri" w:cs="Times New Roman"/>
                <w:color w:val="000000"/>
                <w:sz w:val="24"/>
                <w:szCs w:val="24"/>
              </w:rPr>
            </w:pPr>
            <w:r w:rsidRPr="006D7FC4">
              <w:rPr>
                <w:rFonts w:ascii="Calibri" w:eastAsia="Times New Roman" w:hAnsi="Calibri" w:cs="Times New Roman"/>
                <w:color w:val="000000"/>
                <w:sz w:val="24"/>
                <w:szCs w:val="24"/>
              </w:rPr>
              <w:t>Date</w:t>
            </w:r>
          </w:p>
        </w:tc>
        <w:tc>
          <w:tcPr>
            <w:tcW w:w="5850" w:type="dxa"/>
            <w:tcBorders>
              <w:top w:val="nil"/>
              <w:left w:val="single" w:sz="4" w:space="0" w:color="auto"/>
              <w:bottom w:val="single" w:sz="4" w:space="0" w:color="auto"/>
              <w:right w:val="single" w:sz="4" w:space="0" w:color="auto"/>
            </w:tcBorders>
            <w:shd w:val="clear" w:color="000000" w:fill="FFFFFF"/>
            <w:noWrap/>
            <w:vAlign w:val="bottom"/>
            <w:hideMark/>
          </w:tcPr>
          <w:p w14:paraId="25590D1A" w14:textId="1CAFE780" w:rsidR="00B556D0" w:rsidRPr="005D44D9" w:rsidRDefault="00B556D0" w:rsidP="00AE67FB">
            <w:pPr>
              <w:rPr>
                <w:rFonts w:ascii="Calibri" w:eastAsia="Times New Roman" w:hAnsi="Calibri" w:cs="Times New Roman"/>
                <w:b/>
                <w:bCs/>
                <w:color w:val="76933C"/>
                <w:sz w:val="24"/>
                <w:szCs w:val="28"/>
              </w:rPr>
            </w:pPr>
            <w:r w:rsidRPr="005D44D9">
              <w:rPr>
                <w:rFonts w:ascii="Calibri" w:eastAsia="Times New Roman" w:hAnsi="Calibri" w:cs="Times New Roman"/>
                <w:b/>
                <w:bCs/>
                <w:color w:val="76933C"/>
                <w:sz w:val="24"/>
                <w:szCs w:val="28"/>
              </w:rPr>
              <w:t>202</w:t>
            </w:r>
            <w:r w:rsidR="00E02ABD">
              <w:rPr>
                <w:rFonts w:ascii="Calibri" w:eastAsia="Times New Roman" w:hAnsi="Calibri" w:cs="Times New Roman"/>
                <w:b/>
                <w:bCs/>
                <w:color w:val="76933C"/>
                <w:sz w:val="24"/>
                <w:szCs w:val="28"/>
              </w:rPr>
              <w:t>3</w:t>
            </w:r>
            <w:r w:rsidRPr="005D44D9">
              <w:rPr>
                <w:rFonts w:ascii="Calibri" w:eastAsia="Times New Roman" w:hAnsi="Calibri" w:cs="Times New Roman"/>
                <w:b/>
                <w:bCs/>
                <w:color w:val="76933C"/>
                <w:sz w:val="24"/>
                <w:szCs w:val="28"/>
              </w:rPr>
              <w:t>-0</w:t>
            </w:r>
            <w:r w:rsidR="00E02ABD">
              <w:rPr>
                <w:rFonts w:ascii="Calibri" w:eastAsia="Times New Roman" w:hAnsi="Calibri" w:cs="Times New Roman"/>
                <w:b/>
                <w:bCs/>
                <w:color w:val="76933C"/>
                <w:sz w:val="24"/>
                <w:szCs w:val="28"/>
              </w:rPr>
              <w:t>1</w:t>
            </w:r>
            <w:r w:rsidRPr="005D44D9">
              <w:rPr>
                <w:rFonts w:ascii="Calibri" w:eastAsia="Times New Roman" w:hAnsi="Calibri" w:cs="Times New Roman"/>
                <w:b/>
                <w:bCs/>
                <w:color w:val="76933C"/>
                <w:sz w:val="24"/>
                <w:szCs w:val="28"/>
              </w:rPr>
              <w:t>-</w:t>
            </w:r>
            <w:r w:rsidR="00E02ABD">
              <w:rPr>
                <w:rFonts w:ascii="Calibri" w:eastAsia="Times New Roman" w:hAnsi="Calibri" w:cs="Times New Roman"/>
                <w:b/>
                <w:bCs/>
                <w:color w:val="76933C"/>
                <w:sz w:val="24"/>
                <w:szCs w:val="28"/>
              </w:rPr>
              <w:t>2</w:t>
            </w:r>
            <w:r w:rsidRPr="005D44D9">
              <w:rPr>
                <w:rFonts w:ascii="Calibri" w:eastAsia="Times New Roman" w:hAnsi="Calibri" w:cs="Times New Roman"/>
                <w:b/>
                <w:bCs/>
                <w:color w:val="76933C"/>
                <w:sz w:val="24"/>
                <w:szCs w:val="28"/>
              </w:rPr>
              <w:t>7</w:t>
            </w:r>
          </w:p>
        </w:tc>
        <w:tc>
          <w:tcPr>
            <w:tcW w:w="343" w:type="dxa"/>
            <w:tcBorders>
              <w:top w:val="nil"/>
              <w:left w:val="nil"/>
              <w:bottom w:val="nil"/>
              <w:right w:val="nil"/>
            </w:tcBorders>
            <w:shd w:val="clear" w:color="000000" w:fill="FFFFFF"/>
            <w:noWrap/>
            <w:vAlign w:val="bottom"/>
            <w:hideMark/>
          </w:tcPr>
          <w:p w14:paraId="645861CE" w14:textId="77777777" w:rsidR="00B556D0" w:rsidRPr="006D7FC4" w:rsidRDefault="00B556D0" w:rsidP="00AE67FB">
            <w:pPr>
              <w:rPr>
                <w:rFonts w:ascii="Calibri" w:eastAsia="Times New Roman" w:hAnsi="Calibri" w:cs="Times New Roman"/>
                <w:i/>
                <w:iCs/>
                <w:color w:val="000000"/>
                <w:sz w:val="24"/>
              </w:rPr>
            </w:pPr>
            <w:r w:rsidRPr="006D7FC4">
              <w:rPr>
                <w:rFonts w:ascii="Calibri" w:eastAsia="Times New Roman" w:hAnsi="Calibri" w:cs="Times New Roman"/>
                <w:i/>
                <w:iCs/>
                <w:color w:val="000000"/>
                <w:sz w:val="24"/>
              </w:rPr>
              <w:t> </w:t>
            </w:r>
          </w:p>
        </w:tc>
      </w:tr>
      <w:tr w:rsidR="00B556D0" w14:paraId="2E6084A8" w14:textId="77777777" w:rsidTr="00AE67FB">
        <w:trPr>
          <w:trHeight w:val="375"/>
        </w:trPr>
        <w:tc>
          <w:tcPr>
            <w:tcW w:w="1800" w:type="dxa"/>
            <w:tcBorders>
              <w:top w:val="nil"/>
              <w:left w:val="nil"/>
              <w:bottom w:val="nil"/>
              <w:right w:val="nil"/>
            </w:tcBorders>
            <w:shd w:val="clear" w:color="000000" w:fill="FFFFFF"/>
            <w:noWrap/>
            <w:vAlign w:val="bottom"/>
            <w:hideMark/>
          </w:tcPr>
          <w:p w14:paraId="610BCBFD" w14:textId="77777777" w:rsidR="00B556D0" w:rsidRPr="006D7FC4" w:rsidRDefault="00B556D0" w:rsidP="00AE67FB">
            <w:pPr>
              <w:jc w:val="right"/>
              <w:rPr>
                <w:rFonts w:ascii="Calibri" w:eastAsia="Times New Roman" w:hAnsi="Calibri" w:cs="Times New Roman"/>
                <w:b/>
                <w:bCs/>
                <w:color w:val="000000"/>
                <w:sz w:val="24"/>
                <w:szCs w:val="24"/>
              </w:rPr>
            </w:pPr>
            <w:r w:rsidRPr="006D7FC4">
              <w:rPr>
                <w:rFonts w:ascii="Calibri" w:eastAsia="Times New Roman" w:hAnsi="Calibri" w:cs="Times New Roman"/>
                <w:b/>
                <w:bCs/>
                <w:color w:val="000000"/>
                <w:sz w:val="24"/>
                <w:szCs w:val="24"/>
              </w:rPr>
              <w:t>Authority*</w:t>
            </w:r>
          </w:p>
        </w:tc>
        <w:tc>
          <w:tcPr>
            <w:tcW w:w="5850" w:type="dxa"/>
            <w:tcBorders>
              <w:top w:val="nil"/>
              <w:left w:val="single" w:sz="4" w:space="0" w:color="auto"/>
              <w:bottom w:val="single" w:sz="4" w:space="0" w:color="auto"/>
              <w:right w:val="single" w:sz="4" w:space="0" w:color="auto"/>
            </w:tcBorders>
            <w:shd w:val="clear" w:color="000000" w:fill="FFFFFF"/>
            <w:noWrap/>
            <w:vAlign w:val="bottom"/>
            <w:hideMark/>
          </w:tcPr>
          <w:p w14:paraId="1C9DA033" w14:textId="77777777" w:rsidR="00B556D0" w:rsidRPr="006D7FC4" w:rsidRDefault="00B556D0" w:rsidP="00AE67FB">
            <w:pPr>
              <w:rPr>
                <w:rFonts w:ascii="Calibri" w:eastAsia="Times New Roman" w:hAnsi="Calibri" w:cs="Times New Roman"/>
                <w:b/>
                <w:bCs/>
                <w:color w:val="76933C"/>
                <w:sz w:val="24"/>
                <w:szCs w:val="28"/>
              </w:rPr>
            </w:pPr>
            <w:r w:rsidRPr="006D7FC4">
              <w:rPr>
                <w:rFonts w:ascii="Calibri" w:eastAsia="Times New Roman" w:hAnsi="Calibri" w:cs="Times New Roman"/>
                <w:b/>
                <w:bCs/>
                <w:color w:val="76933C"/>
                <w:sz w:val="24"/>
                <w:szCs w:val="28"/>
              </w:rPr>
              <w:t>IAEG</w:t>
            </w:r>
          </w:p>
        </w:tc>
        <w:tc>
          <w:tcPr>
            <w:tcW w:w="343" w:type="dxa"/>
            <w:tcBorders>
              <w:top w:val="nil"/>
              <w:left w:val="nil"/>
              <w:bottom w:val="nil"/>
              <w:right w:val="nil"/>
            </w:tcBorders>
            <w:shd w:val="clear" w:color="000000" w:fill="FFFFFF"/>
            <w:noWrap/>
            <w:vAlign w:val="bottom"/>
            <w:hideMark/>
          </w:tcPr>
          <w:p w14:paraId="66177E98" w14:textId="77777777" w:rsidR="00B556D0" w:rsidRPr="006D7FC4" w:rsidRDefault="00B556D0" w:rsidP="00AE67FB">
            <w:pPr>
              <w:rPr>
                <w:rFonts w:ascii="Calibri" w:eastAsia="Times New Roman" w:hAnsi="Calibri" w:cs="Times New Roman"/>
                <w:i/>
                <w:iCs/>
                <w:color w:val="000000"/>
                <w:sz w:val="24"/>
              </w:rPr>
            </w:pPr>
            <w:r w:rsidRPr="006D7FC4">
              <w:rPr>
                <w:rFonts w:ascii="Calibri" w:eastAsia="Times New Roman" w:hAnsi="Calibri" w:cs="Times New Roman"/>
                <w:i/>
                <w:iCs/>
                <w:color w:val="000000"/>
                <w:sz w:val="24"/>
              </w:rPr>
              <w:t> </w:t>
            </w:r>
          </w:p>
        </w:tc>
      </w:tr>
      <w:tr w:rsidR="00B556D0" w14:paraId="520BC9B2" w14:textId="77777777" w:rsidTr="00AE67FB">
        <w:trPr>
          <w:trHeight w:val="375"/>
        </w:trPr>
        <w:tc>
          <w:tcPr>
            <w:tcW w:w="1800" w:type="dxa"/>
            <w:tcBorders>
              <w:top w:val="nil"/>
              <w:left w:val="nil"/>
              <w:bottom w:val="nil"/>
              <w:right w:val="nil"/>
            </w:tcBorders>
            <w:shd w:val="clear" w:color="000000" w:fill="FFFFFF"/>
            <w:noWrap/>
            <w:vAlign w:val="bottom"/>
            <w:hideMark/>
          </w:tcPr>
          <w:p w14:paraId="47CDE90A" w14:textId="77777777" w:rsidR="00B556D0" w:rsidRPr="006D7FC4" w:rsidRDefault="00B556D0" w:rsidP="00AE67FB">
            <w:pPr>
              <w:jc w:val="right"/>
              <w:rPr>
                <w:rFonts w:ascii="Calibri" w:eastAsia="Times New Roman" w:hAnsi="Calibri" w:cs="Times New Roman"/>
                <w:b/>
                <w:bCs/>
                <w:color w:val="000000"/>
                <w:sz w:val="24"/>
                <w:szCs w:val="24"/>
              </w:rPr>
            </w:pPr>
            <w:r w:rsidRPr="006D7FC4">
              <w:rPr>
                <w:rFonts w:ascii="Calibri" w:eastAsia="Times New Roman" w:hAnsi="Calibri" w:cs="Times New Roman"/>
                <w:b/>
                <w:bCs/>
                <w:color w:val="000000"/>
                <w:sz w:val="24"/>
                <w:szCs w:val="24"/>
              </w:rPr>
              <w:t>Identity*</w:t>
            </w:r>
          </w:p>
        </w:tc>
        <w:tc>
          <w:tcPr>
            <w:tcW w:w="5850" w:type="dxa"/>
            <w:tcBorders>
              <w:top w:val="nil"/>
              <w:left w:val="single" w:sz="4" w:space="0" w:color="auto"/>
              <w:bottom w:val="single" w:sz="4" w:space="0" w:color="auto"/>
              <w:right w:val="single" w:sz="4" w:space="0" w:color="auto"/>
            </w:tcBorders>
            <w:shd w:val="clear" w:color="000000" w:fill="FFFFFF"/>
            <w:noWrap/>
            <w:vAlign w:val="bottom"/>
            <w:hideMark/>
          </w:tcPr>
          <w:p w14:paraId="4171ED77" w14:textId="77777777" w:rsidR="00B556D0" w:rsidRPr="006D7FC4" w:rsidRDefault="00B556D0" w:rsidP="00AE67FB">
            <w:pPr>
              <w:rPr>
                <w:rFonts w:ascii="Calibri" w:eastAsia="Times New Roman" w:hAnsi="Calibri" w:cs="Times New Roman"/>
                <w:b/>
                <w:bCs/>
                <w:color w:val="76933C"/>
                <w:sz w:val="24"/>
                <w:szCs w:val="28"/>
              </w:rPr>
            </w:pPr>
            <w:r>
              <w:rPr>
                <w:rFonts w:ascii="Calibri" w:eastAsia="Times New Roman" w:hAnsi="Calibri" w:cs="Times New Roman"/>
                <w:b/>
                <w:bCs/>
                <w:color w:val="76933C"/>
                <w:sz w:val="24"/>
                <w:szCs w:val="28"/>
              </w:rPr>
              <w:t>AD-DSL</w:t>
            </w:r>
          </w:p>
        </w:tc>
        <w:tc>
          <w:tcPr>
            <w:tcW w:w="343" w:type="dxa"/>
            <w:tcBorders>
              <w:top w:val="nil"/>
              <w:left w:val="nil"/>
              <w:bottom w:val="nil"/>
              <w:right w:val="nil"/>
            </w:tcBorders>
            <w:shd w:val="clear" w:color="000000" w:fill="FFFFFF"/>
            <w:noWrap/>
            <w:vAlign w:val="bottom"/>
            <w:hideMark/>
          </w:tcPr>
          <w:p w14:paraId="4AAFB6FC" w14:textId="77777777" w:rsidR="00B556D0" w:rsidRPr="006D7FC4" w:rsidRDefault="00B556D0" w:rsidP="00AE67FB">
            <w:pPr>
              <w:rPr>
                <w:rFonts w:ascii="Calibri" w:eastAsia="Times New Roman" w:hAnsi="Calibri" w:cs="Times New Roman"/>
                <w:i/>
                <w:iCs/>
                <w:color w:val="000000"/>
                <w:sz w:val="24"/>
              </w:rPr>
            </w:pPr>
            <w:r w:rsidRPr="006D7FC4">
              <w:rPr>
                <w:rFonts w:ascii="Calibri" w:eastAsia="Times New Roman" w:hAnsi="Calibri" w:cs="Times New Roman"/>
                <w:i/>
                <w:iCs/>
                <w:color w:val="000000"/>
                <w:sz w:val="24"/>
              </w:rPr>
              <w:t> </w:t>
            </w:r>
          </w:p>
        </w:tc>
      </w:tr>
    </w:tbl>
    <w:p w14:paraId="29459DF0" w14:textId="77777777" w:rsidR="00B556D0" w:rsidRDefault="00B556D0" w:rsidP="00B556D0"/>
    <w:p w14:paraId="6EC8C5B8" w14:textId="77777777" w:rsidR="00B556D0" w:rsidRDefault="00B556D0" w:rsidP="00B556D0">
      <w:pPr>
        <w:pStyle w:val="Heading2"/>
        <w:ind w:left="360" w:hanging="360"/>
      </w:pPr>
      <w:bookmarkStart w:id="15" w:name="_Toc256000005"/>
      <w:bookmarkStart w:id="16" w:name="_Toc516578779"/>
      <w:bookmarkStart w:id="17" w:name="_Toc524711264"/>
      <w:bookmarkStart w:id="18" w:name="_Toc2273033"/>
      <w:r>
        <w:t>AD-DSL, Declarable Substance List</w:t>
      </w:r>
      <w:bookmarkEnd w:id="15"/>
      <w:bookmarkEnd w:id="16"/>
      <w:bookmarkEnd w:id="17"/>
      <w:bookmarkEnd w:id="18"/>
    </w:p>
    <w:p w14:paraId="6C50562E" w14:textId="0C068DB4" w:rsidR="009D5BAC" w:rsidRPr="004145A0" w:rsidRDefault="00B556D0" w:rsidP="000C224E">
      <w:pPr>
        <w:rPr>
          <w:u w:val="single"/>
          <w:lang w:val="en-US"/>
        </w:rPr>
      </w:pPr>
      <w:r>
        <w:t>The AD-DSL is updated regularly by IAEG® ™ and is available through the IAEG site on the “</w:t>
      </w:r>
      <w:r>
        <w:rPr>
          <w:i/>
        </w:rPr>
        <w:t>Materials and Substances Declaration”</w:t>
      </w:r>
      <w:r>
        <w:t xml:space="preserve"> webpage: </w:t>
      </w:r>
      <w:r w:rsidRPr="0068521A">
        <w:rPr>
          <w:rStyle w:val="Hyperlink"/>
        </w:rPr>
        <w:t>http://www.iaeg.com/chemicalrpt/addsl</w:t>
      </w:r>
    </w:p>
    <w:sectPr w:rsidR="009D5BAC" w:rsidRPr="004145A0" w:rsidSect="004E6F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0E194" w14:textId="77777777" w:rsidR="00B97A97" w:rsidRDefault="00B97A97" w:rsidP="004E6F7D">
      <w:pPr>
        <w:spacing w:after="0" w:line="240" w:lineRule="auto"/>
      </w:pPr>
      <w:r>
        <w:separator/>
      </w:r>
    </w:p>
  </w:endnote>
  <w:endnote w:type="continuationSeparator" w:id="0">
    <w:p w14:paraId="439773B6" w14:textId="77777777" w:rsidR="00B97A97" w:rsidRDefault="00B97A97" w:rsidP="004E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42D2" w14:textId="01FDB573" w:rsidR="004E6F7D" w:rsidRPr="004E6F7D" w:rsidRDefault="004E6F7D" w:rsidP="004E6F7D">
    <w:pPr>
      <w:pStyle w:val="Footer"/>
      <w:jc w:val="right"/>
      <w:rPr>
        <w:color w:val="595959" w:themeColor="text1" w:themeTint="A6"/>
      </w:rPr>
    </w:pPr>
    <w:r>
      <w:rPr>
        <w:color w:val="595959" w:themeColor="text1" w:themeTint="A6"/>
      </w:rPr>
      <w:t>©</w:t>
    </w:r>
    <w:r w:rsidR="001E27F6">
      <w:rPr>
        <w:color w:val="595959" w:themeColor="text1" w:themeTint="A6"/>
      </w:rPr>
      <w:fldChar w:fldCharType="begin"/>
    </w:r>
    <w:r w:rsidR="001E27F6">
      <w:rPr>
        <w:color w:val="595959" w:themeColor="text1" w:themeTint="A6"/>
      </w:rPr>
      <w:instrText xml:space="preserve"> DATE  \@ "yyyy"  \* MERGEFORMAT </w:instrText>
    </w:r>
    <w:r w:rsidR="001E27F6">
      <w:rPr>
        <w:color w:val="595959" w:themeColor="text1" w:themeTint="A6"/>
      </w:rPr>
      <w:fldChar w:fldCharType="separate"/>
    </w:r>
    <w:r w:rsidR="00FF68A5">
      <w:rPr>
        <w:noProof/>
        <w:color w:val="595959" w:themeColor="text1" w:themeTint="A6"/>
      </w:rPr>
      <w:t>2023</w:t>
    </w:r>
    <w:r w:rsidR="001E27F6">
      <w:rPr>
        <w:color w:val="595959" w:themeColor="text1" w:themeTint="A6"/>
      </w:rPr>
      <w:fldChar w:fldCharType="end"/>
    </w:r>
    <w:r>
      <w:rPr>
        <w:color w:val="595959" w:themeColor="text1" w:themeTint="A6"/>
      </w:rPr>
      <w:t xml:space="preserve"> IAEG®</w:t>
    </w:r>
    <w:r w:rsidRPr="004E6F7D">
      <w:rPr>
        <w:color w:val="595959" w:themeColor="text1" w:themeTint="A6"/>
      </w:rPr>
      <w:ptab w:relativeTo="margin" w:alignment="center" w:leader="none"/>
    </w:r>
    <w:sdt>
      <w:sdtPr>
        <w:rPr>
          <w:color w:val="595959" w:themeColor="text1" w:themeTint="A6"/>
        </w:rPr>
        <w:alias w:val="IP Statement"/>
        <w:tag w:val="IP Statement"/>
        <w:id w:val="-2049291470"/>
        <w:lock w:val="sdtLocked"/>
        <w:comboBox>
          <w:listItem w:value="Choose an item"/>
          <w:listItem w:displayText="Copyright" w:value="Copyright"/>
          <w:listItem w:displayText="IAEG Proprietary - Internal Use Only" w:value="IAEG Proprietary - Internal Use Only"/>
          <w:listItem w:displayText="IAEG WG5 Proprietary - Not for further distribution. Copyright" w:value="IAEG WG5 Proprietary - Not for further distribution. Copyright"/>
        </w:comboBox>
      </w:sdtPr>
      <w:sdtContent>
        <w:r w:rsidR="009D5BAC">
          <w:rPr>
            <w:color w:val="595959" w:themeColor="text1" w:themeTint="A6"/>
          </w:rPr>
          <w:t>Copyright</w:t>
        </w:r>
      </w:sdtContent>
    </w:sdt>
    <w:r w:rsidRPr="004E6F7D">
      <w:rPr>
        <w:color w:val="595959" w:themeColor="text1" w:themeTint="A6"/>
      </w:rPr>
      <w:ptab w:relativeTo="margin" w:alignment="right" w:leader="none"/>
    </w:r>
    <w:r w:rsidRPr="004E6F7D">
      <w:rPr>
        <w:color w:val="595959" w:themeColor="text1" w:themeTint="A6"/>
      </w:rPr>
      <w:t xml:space="preserve">Page </w:t>
    </w:r>
    <w:r w:rsidRPr="004E6F7D">
      <w:rPr>
        <w:b/>
        <w:bCs/>
        <w:color w:val="595959" w:themeColor="text1" w:themeTint="A6"/>
        <w:sz w:val="24"/>
        <w:szCs w:val="24"/>
      </w:rPr>
      <w:fldChar w:fldCharType="begin"/>
    </w:r>
    <w:r w:rsidRPr="004E6F7D">
      <w:rPr>
        <w:b/>
        <w:bCs/>
        <w:color w:val="595959" w:themeColor="text1" w:themeTint="A6"/>
      </w:rPr>
      <w:instrText xml:space="preserve"> PAGE </w:instrText>
    </w:r>
    <w:r w:rsidRPr="004E6F7D">
      <w:rPr>
        <w:b/>
        <w:bCs/>
        <w:color w:val="595959" w:themeColor="text1" w:themeTint="A6"/>
        <w:sz w:val="24"/>
        <w:szCs w:val="24"/>
      </w:rPr>
      <w:fldChar w:fldCharType="separate"/>
    </w:r>
    <w:r w:rsidR="00F50F24">
      <w:rPr>
        <w:b/>
        <w:bCs/>
        <w:noProof/>
        <w:color w:val="595959" w:themeColor="text1" w:themeTint="A6"/>
      </w:rPr>
      <w:t>3</w:t>
    </w:r>
    <w:r w:rsidRPr="004E6F7D">
      <w:rPr>
        <w:b/>
        <w:bCs/>
        <w:color w:val="595959" w:themeColor="text1" w:themeTint="A6"/>
        <w:sz w:val="24"/>
        <w:szCs w:val="24"/>
      </w:rPr>
      <w:fldChar w:fldCharType="end"/>
    </w:r>
    <w:r w:rsidRPr="004E6F7D">
      <w:rPr>
        <w:color w:val="595959" w:themeColor="text1" w:themeTint="A6"/>
      </w:rPr>
      <w:t xml:space="preserve"> of </w:t>
    </w:r>
    <w:r w:rsidRPr="004E6F7D">
      <w:rPr>
        <w:b/>
        <w:bCs/>
        <w:color w:val="595959" w:themeColor="text1" w:themeTint="A6"/>
        <w:sz w:val="24"/>
        <w:szCs w:val="24"/>
      </w:rPr>
      <w:fldChar w:fldCharType="begin"/>
    </w:r>
    <w:r w:rsidRPr="004E6F7D">
      <w:rPr>
        <w:b/>
        <w:bCs/>
        <w:color w:val="595959" w:themeColor="text1" w:themeTint="A6"/>
      </w:rPr>
      <w:instrText xml:space="preserve"> NUMPAGES  </w:instrText>
    </w:r>
    <w:r w:rsidRPr="004E6F7D">
      <w:rPr>
        <w:b/>
        <w:bCs/>
        <w:color w:val="595959" w:themeColor="text1" w:themeTint="A6"/>
        <w:sz w:val="24"/>
        <w:szCs w:val="24"/>
      </w:rPr>
      <w:fldChar w:fldCharType="separate"/>
    </w:r>
    <w:r w:rsidR="00F50F24">
      <w:rPr>
        <w:b/>
        <w:bCs/>
        <w:noProof/>
        <w:color w:val="595959" w:themeColor="text1" w:themeTint="A6"/>
      </w:rPr>
      <w:t>3</w:t>
    </w:r>
    <w:r w:rsidRPr="004E6F7D">
      <w:rPr>
        <w:b/>
        <w:bCs/>
        <w:color w:val="595959" w:themeColor="text1" w:themeTint="A6"/>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76979" w14:textId="77777777" w:rsidR="00B97A97" w:rsidRDefault="00B97A97" w:rsidP="004E6F7D">
      <w:pPr>
        <w:spacing w:after="0" w:line="240" w:lineRule="auto"/>
      </w:pPr>
      <w:r>
        <w:separator/>
      </w:r>
    </w:p>
  </w:footnote>
  <w:footnote w:type="continuationSeparator" w:id="0">
    <w:p w14:paraId="066B96ED" w14:textId="77777777" w:rsidR="00B97A97" w:rsidRDefault="00B97A97" w:rsidP="004E6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42D1" w14:textId="1BCD30B5" w:rsidR="004E6F7D" w:rsidRPr="00F16B65" w:rsidRDefault="00CE23C9" w:rsidP="00CE23C9">
    <w:pPr>
      <w:pStyle w:val="Header"/>
      <w:jc w:val="right"/>
      <w:rPr>
        <w:color w:val="595959" w:themeColor="text1" w:themeTint="A6"/>
      </w:rPr>
    </w:pPr>
    <w:r w:rsidRPr="00F16B65">
      <w:rPr>
        <w:rStyle w:val="SubtitleChar"/>
        <w:rFonts w:eastAsiaTheme="minorEastAsia"/>
        <w:color w:val="595959" w:themeColor="text1" w:themeTint="A6"/>
      </w:rPr>
      <w:t>Versio</w:t>
    </w:r>
    <w:r w:rsidR="00501979" w:rsidRPr="00F16B65">
      <w:rPr>
        <w:rStyle w:val="SubtitleChar"/>
        <w:rFonts w:eastAsiaTheme="minorEastAsia"/>
        <w:color w:val="595959" w:themeColor="text1" w:themeTint="A6"/>
      </w:rPr>
      <w:t>n</w:t>
    </w:r>
    <w:r w:rsidR="00E67BA0" w:rsidRPr="00F16B65">
      <w:rPr>
        <w:rStyle w:val="SubtitleChar"/>
        <w:rFonts w:eastAsiaTheme="minorEastAsia"/>
        <w:color w:val="595959" w:themeColor="text1" w:themeTint="A6"/>
      </w:rPr>
      <w:t xml:space="preserve"> </w:t>
    </w:r>
    <w:r w:rsidR="009D5BAC">
      <w:rPr>
        <w:rStyle w:val="SubtitleChar"/>
        <w:rFonts w:eastAsiaTheme="minorEastAsia"/>
        <w:b/>
        <w:i w:val="0"/>
        <w:color w:val="595959" w:themeColor="text1" w:themeTint="A6"/>
      </w:rPr>
      <w:t>1.0</w:t>
    </w:r>
    <w:r w:rsidR="004E6F7D" w:rsidRPr="00F16B65">
      <w:rPr>
        <w:color w:val="595959" w:themeColor="text1" w:themeTint="A6"/>
      </w:rPr>
      <w:ptab w:relativeTo="margin" w:alignment="center" w:leader="none"/>
    </w:r>
    <w:sdt>
      <w:sdtPr>
        <w:rPr>
          <w:color w:val="595959" w:themeColor="text1" w:themeTint="A6"/>
        </w:rPr>
        <w:id w:val="504788237"/>
      </w:sdtPr>
      <w:sdtContent>
        <w:sdt>
          <w:sdtPr>
            <w:rPr>
              <w:color w:val="595959" w:themeColor="text1" w:themeTint="A6"/>
            </w:rPr>
            <w:alias w:val="Title"/>
            <w:tag w:val=""/>
            <w:id w:val="-792905394"/>
            <w:dataBinding w:prefixMappings="xmlns:ns0='http://purl.org/dc/elements/1.1/' xmlns:ns1='http://schemas.openxmlformats.org/package/2006/metadata/core-properties' " w:xpath="/ns1:coreProperties[1]/ns0:title[1]" w:storeItemID="{6C3C8BC8-F283-45AE-878A-BAB7291924A1}"/>
            <w:text/>
          </w:sdtPr>
          <w:sdtContent>
            <w:r w:rsidR="0048497A">
              <w:rPr>
                <w:color w:val="595959" w:themeColor="text1" w:themeTint="A6"/>
              </w:rPr>
              <w:t>Release Note – IAEG® AD-SRT 2.0</w:t>
            </w:r>
          </w:sdtContent>
        </w:sdt>
      </w:sdtContent>
    </w:sdt>
    <w:r w:rsidR="004E6F7D" w:rsidRPr="00F16B65">
      <w:rPr>
        <w:color w:val="595959" w:themeColor="text1" w:themeTint="A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57EE8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F657B"/>
    <w:multiLevelType w:val="hybridMultilevel"/>
    <w:tmpl w:val="D68C781E"/>
    <w:lvl w:ilvl="0" w:tplc="D4CAF432">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96B4D"/>
    <w:multiLevelType w:val="hybridMultilevel"/>
    <w:tmpl w:val="772AE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7587F"/>
    <w:multiLevelType w:val="hybridMultilevel"/>
    <w:tmpl w:val="98A21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A2AFD"/>
    <w:multiLevelType w:val="hybridMultilevel"/>
    <w:tmpl w:val="ED021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05BC5"/>
    <w:multiLevelType w:val="hybridMultilevel"/>
    <w:tmpl w:val="57C4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9414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19B2412"/>
    <w:multiLevelType w:val="hybridMultilevel"/>
    <w:tmpl w:val="F0C66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8D610B"/>
    <w:multiLevelType w:val="hybridMultilevel"/>
    <w:tmpl w:val="5CA4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0B6BDB"/>
    <w:multiLevelType w:val="hybridMultilevel"/>
    <w:tmpl w:val="2072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D97620"/>
    <w:multiLevelType w:val="hybridMultilevel"/>
    <w:tmpl w:val="DBCEF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49917">
    <w:abstractNumId w:val="9"/>
  </w:num>
  <w:num w:numId="2" w16cid:durableId="384570542">
    <w:abstractNumId w:val="10"/>
  </w:num>
  <w:num w:numId="3" w16cid:durableId="1050422186">
    <w:abstractNumId w:val="8"/>
  </w:num>
  <w:num w:numId="4" w16cid:durableId="1045980858">
    <w:abstractNumId w:val="4"/>
  </w:num>
  <w:num w:numId="5" w16cid:durableId="1897542704">
    <w:abstractNumId w:val="6"/>
  </w:num>
  <w:num w:numId="6" w16cid:durableId="860628515">
    <w:abstractNumId w:val="7"/>
  </w:num>
  <w:num w:numId="7" w16cid:durableId="1971738108">
    <w:abstractNumId w:val="3"/>
  </w:num>
  <w:num w:numId="8" w16cid:durableId="1585989119">
    <w:abstractNumId w:val="5"/>
  </w:num>
  <w:num w:numId="9" w16cid:durableId="907377073">
    <w:abstractNumId w:val="1"/>
  </w:num>
  <w:num w:numId="10" w16cid:durableId="328367363">
    <w:abstractNumId w:val="2"/>
  </w:num>
  <w:num w:numId="11" w16cid:durableId="1809543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39E"/>
    <w:rsid w:val="000C224E"/>
    <w:rsid w:val="000E52C2"/>
    <w:rsid w:val="001747C2"/>
    <w:rsid w:val="001C20D8"/>
    <w:rsid w:val="001D5868"/>
    <w:rsid w:val="001E27F6"/>
    <w:rsid w:val="001E524A"/>
    <w:rsid w:val="001F59CB"/>
    <w:rsid w:val="00220EB4"/>
    <w:rsid w:val="00266DA6"/>
    <w:rsid w:val="00276FA7"/>
    <w:rsid w:val="002A52E5"/>
    <w:rsid w:val="002C5BBB"/>
    <w:rsid w:val="00311C4F"/>
    <w:rsid w:val="0032528A"/>
    <w:rsid w:val="00363467"/>
    <w:rsid w:val="00381295"/>
    <w:rsid w:val="003945F8"/>
    <w:rsid w:val="003C2483"/>
    <w:rsid w:val="003C31D9"/>
    <w:rsid w:val="003C731C"/>
    <w:rsid w:val="003D0C2F"/>
    <w:rsid w:val="003E7CE1"/>
    <w:rsid w:val="00401A4F"/>
    <w:rsid w:val="00401E35"/>
    <w:rsid w:val="00414C46"/>
    <w:rsid w:val="0048497A"/>
    <w:rsid w:val="004E6F7D"/>
    <w:rsid w:val="00501979"/>
    <w:rsid w:val="005162F6"/>
    <w:rsid w:val="005213E1"/>
    <w:rsid w:val="00612163"/>
    <w:rsid w:val="006E02F1"/>
    <w:rsid w:val="0071690D"/>
    <w:rsid w:val="007D5B85"/>
    <w:rsid w:val="008574EC"/>
    <w:rsid w:val="00872A33"/>
    <w:rsid w:val="009102CE"/>
    <w:rsid w:val="00946539"/>
    <w:rsid w:val="0095348C"/>
    <w:rsid w:val="00962E97"/>
    <w:rsid w:val="009C7E14"/>
    <w:rsid w:val="009D5BAC"/>
    <w:rsid w:val="00A4239E"/>
    <w:rsid w:val="00A56CC3"/>
    <w:rsid w:val="00AE6546"/>
    <w:rsid w:val="00B556D0"/>
    <w:rsid w:val="00B97A97"/>
    <w:rsid w:val="00BA3BE8"/>
    <w:rsid w:val="00BC6217"/>
    <w:rsid w:val="00C60C51"/>
    <w:rsid w:val="00C7070D"/>
    <w:rsid w:val="00C72ED2"/>
    <w:rsid w:val="00CA404C"/>
    <w:rsid w:val="00CE23C9"/>
    <w:rsid w:val="00D82767"/>
    <w:rsid w:val="00E02ABD"/>
    <w:rsid w:val="00E03560"/>
    <w:rsid w:val="00E67BA0"/>
    <w:rsid w:val="00F16B65"/>
    <w:rsid w:val="00F50F24"/>
    <w:rsid w:val="00FA199B"/>
    <w:rsid w:val="00FB2901"/>
    <w:rsid w:val="00FF6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34293"/>
  <w15:docId w15:val="{F14FA5EE-E58C-478F-A872-2AB1EC70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7D"/>
    <w:pPr>
      <w:jc w:val="both"/>
    </w:pPr>
  </w:style>
  <w:style w:type="paragraph" w:styleId="Heading1">
    <w:name w:val="heading 1"/>
    <w:basedOn w:val="Normal"/>
    <w:next w:val="Normal"/>
    <w:link w:val="Heading1Char"/>
    <w:uiPriority w:val="9"/>
    <w:qFormat/>
    <w:rsid w:val="00A4239E"/>
    <w:pPr>
      <w:numPr>
        <w:numId w:val="5"/>
      </w:numPr>
      <w:spacing w:before="480" w:after="0"/>
      <w:contextualSpacing/>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unhideWhenUsed/>
    <w:qFormat/>
    <w:rsid w:val="00A4239E"/>
    <w:pPr>
      <w:numPr>
        <w:ilvl w:val="1"/>
        <w:numId w:val="5"/>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unhideWhenUsed/>
    <w:qFormat/>
    <w:rsid w:val="00A4239E"/>
    <w:pPr>
      <w:numPr>
        <w:ilvl w:val="2"/>
        <w:numId w:val="5"/>
      </w:numPr>
      <w:spacing w:before="200" w:after="0" w:line="271" w:lineRule="auto"/>
      <w:outlineLvl w:val="2"/>
    </w:pPr>
    <w:rPr>
      <w:rFonts w:ascii="Cambria" w:eastAsia="Times New Roman" w:hAnsi="Cambria" w:cs="Times New Roman"/>
      <w:b/>
      <w:bCs/>
    </w:rPr>
  </w:style>
  <w:style w:type="paragraph" w:styleId="Heading4">
    <w:name w:val="heading 4"/>
    <w:basedOn w:val="Normal"/>
    <w:next w:val="Normal"/>
    <w:link w:val="Heading4Char"/>
    <w:uiPriority w:val="9"/>
    <w:unhideWhenUsed/>
    <w:qFormat/>
    <w:rsid w:val="00A4239E"/>
    <w:pPr>
      <w:numPr>
        <w:ilvl w:val="3"/>
        <w:numId w:val="5"/>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unhideWhenUsed/>
    <w:qFormat/>
    <w:rsid w:val="00A4239E"/>
    <w:pPr>
      <w:numPr>
        <w:ilvl w:val="4"/>
        <w:numId w:val="5"/>
      </w:numPr>
      <w:spacing w:before="200" w:after="0"/>
      <w:outlineLvl w:val="4"/>
    </w:pPr>
    <w:rPr>
      <w:rFonts w:ascii="Cambria" w:eastAsia="Times New Roman" w:hAnsi="Cambria" w:cs="Times New Roman"/>
      <w:b/>
      <w:bCs/>
      <w:color w:val="7F7F7F"/>
    </w:rPr>
  </w:style>
  <w:style w:type="paragraph" w:styleId="Heading6">
    <w:name w:val="heading 6"/>
    <w:basedOn w:val="Normal"/>
    <w:next w:val="Normal"/>
    <w:link w:val="Heading6Char"/>
    <w:uiPriority w:val="9"/>
    <w:semiHidden/>
    <w:unhideWhenUsed/>
    <w:qFormat/>
    <w:rsid w:val="00A4239E"/>
    <w:pPr>
      <w:numPr>
        <w:ilvl w:val="5"/>
        <w:numId w:val="5"/>
      </w:numPr>
      <w:spacing w:after="0" w:line="271"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iPriority w:val="9"/>
    <w:semiHidden/>
    <w:unhideWhenUsed/>
    <w:qFormat/>
    <w:rsid w:val="00A4239E"/>
    <w:pPr>
      <w:numPr>
        <w:ilvl w:val="6"/>
        <w:numId w:val="5"/>
      </w:numPr>
      <w:spacing w:after="0"/>
      <w:outlineLvl w:val="6"/>
    </w:pPr>
    <w:rPr>
      <w:rFonts w:ascii="Cambria" w:eastAsia="Times New Roman" w:hAnsi="Cambria" w:cs="Times New Roman"/>
      <w:i/>
      <w:iCs/>
    </w:rPr>
  </w:style>
  <w:style w:type="paragraph" w:styleId="Heading8">
    <w:name w:val="heading 8"/>
    <w:basedOn w:val="Normal"/>
    <w:next w:val="Normal"/>
    <w:link w:val="Heading8Char"/>
    <w:uiPriority w:val="9"/>
    <w:semiHidden/>
    <w:unhideWhenUsed/>
    <w:qFormat/>
    <w:rsid w:val="00A4239E"/>
    <w:pPr>
      <w:numPr>
        <w:ilvl w:val="7"/>
        <w:numId w:val="5"/>
      </w:numPr>
      <w:spacing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A4239E"/>
    <w:pPr>
      <w:numPr>
        <w:ilvl w:val="8"/>
        <w:numId w:val="5"/>
      </w:numPr>
      <w:spacing w:after="0"/>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4239E"/>
    <w:rPr>
      <w:rFonts w:ascii="Cambria" w:eastAsia="Times New Roman" w:hAnsi="Cambria" w:cs="Times New Roman"/>
      <w:b/>
      <w:bCs/>
      <w:sz w:val="28"/>
      <w:szCs w:val="28"/>
    </w:rPr>
  </w:style>
  <w:style w:type="character" w:customStyle="1" w:styleId="Heading2Char">
    <w:name w:val="Heading 2 Char"/>
    <w:link w:val="Heading2"/>
    <w:uiPriority w:val="9"/>
    <w:rsid w:val="00A4239E"/>
    <w:rPr>
      <w:rFonts w:ascii="Cambria" w:eastAsia="Times New Roman" w:hAnsi="Cambria" w:cs="Times New Roman"/>
      <w:b/>
      <w:bCs/>
      <w:sz w:val="26"/>
      <w:szCs w:val="26"/>
    </w:rPr>
  </w:style>
  <w:style w:type="character" w:customStyle="1" w:styleId="Heading3Char">
    <w:name w:val="Heading 3 Char"/>
    <w:link w:val="Heading3"/>
    <w:uiPriority w:val="9"/>
    <w:rsid w:val="00A4239E"/>
    <w:rPr>
      <w:rFonts w:ascii="Cambria" w:eastAsia="Times New Roman" w:hAnsi="Cambria" w:cs="Times New Roman"/>
      <w:b/>
      <w:bCs/>
    </w:rPr>
  </w:style>
  <w:style w:type="character" w:customStyle="1" w:styleId="Heading4Char">
    <w:name w:val="Heading 4 Char"/>
    <w:link w:val="Heading4"/>
    <w:uiPriority w:val="9"/>
    <w:rsid w:val="00A4239E"/>
    <w:rPr>
      <w:rFonts w:ascii="Cambria" w:eastAsia="Times New Roman" w:hAnsi="Cambria" w:cs="Times New Roman"/>
      <w:b/>
      <w:bCs/>
      <w:i/>
      <w:iCs/>
    </w:rPr>
  </w:style>
  <w:style w:type="character" w:customStyle="1" w:styleId="Heading5Char">
    <w:name w:val="Heading 5 Char"/>
    <w:link w:val="Heading5"/>
    <w:uiPriority w:val="9"/>
    <w:rsid w:val="00A4239E"/>
    <w:rPr>
      <w:rFonts w:ascii="Cambria" w:eastAsia="Times New Roman" w:hAnsi="Cambria" w:cs="Times New Roman"/>
      <w:b/>
      <w:bCs/>
      <w:color w:val="7F7F7F"/>
    </w:rPr>
  </w:style>
  <w:style w:type="character" w:customStyle="1" w:styleId="Heading6Char">
    <w:name w:val="Heading 6 Char"/>
    <w:link w:val="Heading6"/>
    <w:uiPriority w:val="9"/>
    <w:semiHidden/>
    <w:rsid w:val="00A4239E"/>
    <w:rPr>
      <w:rFonts w:ascii="Cambria" w:eastAsia="Times New Roman" w:hAnsi="Cambria" w:cs="Times New Roman"/>
      <w:b/>
      <w:bCs/>
      <w:i/>
      <w:iCs/>
      <w:color w:val="7F7F7F"/>
    </w:rPr>
  </w:style>
  <w:style w:type="character" w:customStyle="1" w:styleId="Heading7Char">
    <w:name w:val="Heading 7 Char"/>
    <w:link w:val="Heading7"/>
    <w:uiPriority w:val="9"/>
    <w:semiHidden/>
    <w:rsid w:val="00A4239E"/>
    <w:rPr>
      <w:rFonts w:ascii="Cambria" w:eastAsia="Times New Roman" w:hAnsi="Cambria" w:cs="Times New Roman"/>
      <w:i/>
      <w:iCs/>
    </w:rPr>
  </w:style>
  <w:style w:type="character" w:customStyle="1" w:styleId="Heading8Char">
    <w:name w:val="Heading 8 Char"/>
    <w:link w:val="Heading8"/>
    <w:uiPriority w:val="9"/>
    <w:semiHidden/>
    <w:rsid w:val="00A4239E"/>
    <w:rPr>
      <w:rFonts w:ascii="Cambria" w:eastAsia="Times New Roman" w:hAnsi="Cambria" w:cs="Times New Roman"/>
      <w:sz w:val="20"/>
      <w:szCs w:val="20"/>
    </w:rPr>
  </w:style>
  <w:style w:type="character" w:customStyle="1" w:styleId="Heading9Char">
    <w:name w:val="Heading 9 Char"/>
    <w:link w:val="Heading9"/>
    <w:uiPriority w:val="9"/>
    <w:semiHidden/>
    <w:rsid w:val="00A4239E"/>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9102CE"/>
    <w:pPr>
      <w:pBdr>
        <w:bottom w:val="single" w:sz="4" w:space="1" w:color="auto"/>
      </w:pBdr>
      <w:spacing w:line="240" w:lineRule="auto"/>
      <w:contextualSpacing/>
      <w:jc w:val="left"/>
    </w:pPr>
    <w:rPr>
      <w:rFonts w:ascii="Cambria" w:eastAsia="Times New Roman" w:hAnsi="Cambria" w:cs="Times New Roman"/>
      <w:b/>
      <w:spacing w:val="5"/>
      <w:sz w:val="52"/>
      <w:szCs w:val="52"/>
    </w:rPr>
  </w:style>
  <w:style w:type="character" w:customStyle="1" w:styleId="TitleChar">
    <w:name w:val="Title Char"/>
    <w:link w:val="Title"/>
    <w:uiPriority w:val="10"/>
    <w:rsid w:val="009102CE"/>
    <w:rPr>
      <w:rFonts w:ascii="Cambria" w:eastAsia="Times New Roman" w:hAnsi="Cambria" w:cs="Times New Roman"/>
      <w:b/>
      <w:spacing w:val="5"/>
      <w:sz w:val="52"/>
      <w:szCs w:val="52"/>
    </w:rPr>
  </w:style>
  <w:style w:type="paragraph" w:styleId="Subtitle">
    <w:name w:val="Subtitle"/>
    <w:basedOn w:val="Normal"/>
    <w:next w:val="Normal"/>
    <w:link w:val="SubtitleChar"/>
    <w:uiPriority w:val="11"/>
    <w:qFormat/>
    <w:rsid w:val="00FA199B"/>
    <w:pPr>
      <w:spacing w:line="240" w:lineRule="auto"/>
    </w:pPr>
    <w:rPr>
      <w:rFonts w:ascii="Cambria" w:eastAsia="Times New Roman" w:hAnsi="Cambria" w:cs="Times New Roman"/>
      <w:i/>
      <w:iCs/>
      <w:spacing w:val="13"/>
      <w:sz w:val="24"/>
      <w:szCs w:val="24"/>
    </w:rPr>
  </w:style>
  <w:style w:type="character" w:customStyle="1" w:styleId="SubtitleChar">
    <w:name w:val="Subtitle Char"/>
    <w:link w:val="Subtitle"/>
    <w:uiPriority w:val="11"/>
    <w:rsid w:val="00FA199B"/>
    <w:rPr>
      <w:rFonts w:ascii="Cambria" w:eastAsia="Times New Roman" w:hAnsi="Cambria" w:cs="Times New Roman"/>
      <w:i/>
      <w:iCs/>
      <w:spacing w:val="13"/>
      <w:sz w:val="24"/>
      <w:szCs w:val="24"/>
    </w:rPr>
  </w:style>
  <w:style w:type="character" w:styleId="Strong">
    <w:name w:val="Strong"/>
    <w:uiPriority w:val="22"/>
    <w:qFormat/>
    <w:rsid w:val="00A4239E"/>
    <w:rPr>
      <w:b/>
      <w:bCs/>
    </w:rPr>
  </w:style>
  <w:style w:type="character" w:styleId="Emphasis">
    <w:name w:val="Emphasis"/>
    <w:uiPriority w:val="20"/>
    <w:qFormat/>
    <w:rsid w:val="00A4239E"/>
    <w:rPr>
      <w:b/>
      <w:bCs/>
      <w:i/>
      <w:iCs/>
      <w:spacing w:val="10"/>
      <w:bdr w:val="none" w:sz="0" w:space="0" w:color="auto"/>
      <w:shd w:val="clear" w:color="auto" w:fill="auto"/>
    </w:rPr>
  </w:style>
  <w:style w:type="paragraph" w:styleId="NoSpacing">
    <w:name w:val="No Spacing"/>
    <w:basedOn w:val="Normal"/>
    <w:uiPriority w:val="1"/>
    <w:qFormat/>
    <w:rsid w:val="00A4239E"/>
    <w:pPr>
      <w:spacing w:after="0" w:line="240" w:lineRule="auto"/>
    </w:pPr>
  </w:style>
  <w:style w:type="paragraph" w:styleId="ListParagraph">
    <w:name w:val="List Paragraph"/>
    <w:basedOn w:val="Normal"/>
    <w:uiPriority w:val="34"/>
    <w:qFormat/>
    <w:rsid w:val="00A4239E"/>
    <w:pPr>
      <w:ind w:left="720"/>
      <w:contextualSpacing/>
    </w:pPr>
  </w:style>
  <w:style w:type="paragraph" w:styleId="Quote">
    <w:name w:val="Quote"/>
    <w:basedOn w:val="Normal"/>
    <w:next w:val="Normal"/>
    <w:link w:val="QuoteChar"/>
    <w:uiPriority w:val="29"/>
    <w:qFormat/>
    <w:rsid w:val="00A4239E"/>
    <w:pPr>
      <w:spacing w:before="200" w:after="0"/>
      <w:ind w:left="360" w:right="360"/>
    </w:pPr>
    <w:rPr>
      <w:i/>
      <w:iCs/>
    </w:rPr>
  </w:style>
  <w:style w:type="character" w:customStyle="1" w:styleId="QuoteChar">
    <w:name w:val="Quote Char"/>
    <w:link w:val="Quote"/>
    <w:uiPriority w:val="29"/>
    <w:rsid w:val="00A4239E"/>
    <w:rPr>
      <w:i/>
      <w:iCs/>
    </w:rPr>
  </w:style>
  <w:style w:type="paragraph" w:styleId="IntenseQuote">
    <w:name w:val="Intense Quote"/>
    <w:basedOn w:val="Normal"/>
    <w:next w:val="Normal"/>
    <w:link w:val="IntenseQuoteChar"/>
    <w:uiPriority w:val="30"/>
    <w:rsid w:val="00A4239E"/>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A4239E"/>
    <w:rPr>
      <w:b/>
      <w:bCs/>
      <w:i/>
      <w:iCs/>
    </w:rPr>
  </w:style>
  <w:style w:type="character" w:styleId="SubtleEmphasis">
    <w:name w:val="Subtle Emphasis"/>
    <w:uiPriority w:val="19"/>
    <w:qFormat/>
    <w:rsid w:val="00A4239E"/>
    <w:rPr>
      <w:i/>
      <w:iCs/>
    </w:rPr>
  </w:style>
  <w:style w:type="character" w:styleId="IntenseEmphasis">
    <w:name w:val="Intense Emphasis"/>
    <w:uiPriority w:val="21"/>
    <w:rsid w:val="00A4239E"/>
    <w:rPr>
      <w:b/>
      <w:bCs/>
    </w:rPr>
  </w:style>
  <w:style w:type="character" w:styleId="SubtleReference">
    <w:name w:val="Subtle Reference"/>
    <w:uiPriority w:val="31"/>
    <w:rsid w:val="00A4239E"/>
    <w:rPr>
      <w:smallCaps/>
    </w:rPr>
  </w:style>
  <w:style w:type="character" w:styleId="IntenseReference">
    <w:name w:val="Intense Reference"/>
    <w:uiPriority w:val="32"/>
    <w:rsid w:val="00A4239E"/>
    <w:rPr>
      <w:smallCaps/>
      <w:spacing w:val="5"/>
      <w:u w:val="single"/>
    </w:rPr>
  </w:style>
  <w:style w:type="character" w:styleId="BookTitle">
    <w:name w:val="Book Title"/>
    <w:uiPriority w:val="33"/>
    <w:rsid w:val="00A4239E"/>
    <w:rPr>
      <w:i/>
      <w:iCs/>
      <w:smallCaps/>
      <w:spacing w:val="5"/>
    </w:rPr>
  </w:style>
  <w:style w:type="paragraph" w:styleId="TOCHeading">
    <w:name w:val="TOC Heading"/>
    <w:basedOn w:val="Heading1"/>
    <w:next w:val="Normal"/>
    <w:uiPriority w:val="39"/>
    <w:unhideWhenUsed/>
    <w:qFormat/>
    <w:rsid w:val="00A4239E"/>
    <w:pPr>
      <w:outlineLvl w:val="9"/>
    </w:pPr>
    <w:rPr>
      <w:lang w:bidi="en-US"/>
    </w:rPr>
  </w:style>
  <w:style w:type="character" w:styleId="PlaceholderText">
    <w:name w:val="Placeholder Text"/>
    <w:basedOn w:val="DefaultParagraphFont"/>
    <w:uiPriority w:val="99"/>
    <w:semiHidden/>
    <w:rsid w:val="004E6F7D"/>
    <w:rPr>
      <w:color w:val="808080"/>
    </w:rPr>
  </w:style>
  <w:style w:type="paragraph" w:styleId="BalloonText">
    <w:name w:val="Balloon Text"/>
    <w:basedOn w:val="Normal"/>
    <w:link w:val="BalloonTextChar"/>
    <w:uiPriority w:val="99"/>
    <w:semiHidden/>
    <w:unhideWhenUsed/>
    <w:rsid w:val="004E6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F7D"/>
    <w:rPr>
      <w:rFonts w:ascii="Tahoma" w:hAnsi="Tahoma" w:cs="Tahoma"/>
      <w:sz w:val="16"/>
      <w:szCs w:val="16"/>
    </w:rPr>
  </w:style>
  <w:style w:type="paragraph" w:styleId="Header">
    <w:name w:val="header"/>
    <w:basedOn w:val="Normal"/>
    <w:link w:val="HeaderChar"/>
    <w:uiPriority w:val="99"/>
    <w:unhideWhenUsed/>
    <w:rsid w:val="004E6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F7D"/>
  </w:style>
  <w:style w:type="paragraph" w:styleId="Footer">
    <w:name w:val="footer"/>
    <w:basedOn w:val="Normal"/>
    <w:link w:val="FooterChar"/>
    <w:uiPriority w:val="99"/>
    <w:unhideWhenUsed/>
    <w:rsid w:val="004E6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F7D"/>
  </w:style>
  <w:style w:type="paragraph" w:styleId="TOC1">
    <w:name w:val="toc 1"/>
    <w:basedOn w:val="Normal"/>
    <w:next w:val="Normal"/>
    <w:autoRedefine/>
    <w:uiPriority w:val="39"/>
    <w:unhideWhenUsed/>
    <w:rsid w:val="00E02ABD"/>
    <w:pPr>
      <w:tabs>
        <w:tab w:val="left" w:pos="440"/>
        <w:tab w:val="right" w:leader="dot" w:pos="9890"/>
      </w:tabs>
      <w:spacing w:after="100"/>
    </w:pPr>
  </w:style>
  <w:style w:type="paragraph" w:styleId="TOC2">
    <w:name w:val="toc 2"/>
    <w:basedOn w:val="Normal"/>
    <w:next w:val="Normal"/>
    <w:autoRedefine/>
    <w:uiPriority w:val="39"/>
    <w:unhideWhenUsed/>
    <w:rsid w:val="00E02ABD"/>
    <w:pPr>
      <w:tabs>
        <w:tab w:val="left" w:pos="450"/>
      </w:tabs>
      <w:spacing w:after="100"/>
    </w:pPr>
  </w:style>
  <w:style w:type="paragraph" w:styleId="TOC3">
    <w:name w:val="toc 3"/>
    <w:basedOn w:val="Normal"/>
    <w:next w:val="Normal"/>
    <w:autoRedefine/>
    <w:uiPriority w:val="39"/>
    <w:unhideWhenUsed/>
    <w:rsid w:val="004E6F7D"/>
    <w:pPr>
      <w:spacing w:after="100"/>
      <w:ind w:left="440"/>
    </w:pPr>
  </w:style>
  <w:style w:type="character" w:styleId="Hyperlink">
    <w:name w:val="Hyperlink"/>
    <w:basedOn w:val="DefaultParagraphFont"/>
    <w:uiPriority w:val="99"/>
    <w:unhideWhenUsed/>
    <w:rsid w:val="004E6F7D"/>
    <w:rPr>
      <w:color w:val="0000FF" w:themeColor="hyperlink"/>
      <w:u w:val="single"/>
    </w:rPr>
  </w:style>
  <w:style w:type="table" w:styleId="TableGrid">
    <w:name w:val="Table Grid"/>
    <w:basedOn w:val="TableNormal"/>
    <w:uiPriority w:val="59"/>
    <w:rsid w:val="004E6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rsid w:val="00401E35"/>
    <w:pPr>
      <w:numPr>
        <w:numId w:val="9"/>
      </w:numPr>
      <w:spacing w:after="0" w:line="260" w:lineRule="exact"/>
      <w:jc w:val="left"/>
    </w:pPr>
    <w:rPr>
      <w:rFonts w:ascii="Arial" w:eastAsia="Times New Roman" w:hAnsi="Arial" w:cs="Times New Roman"/>
      <w:sz w:val="20"/>
      <w:szCs w:val="20"/>
      <w:lang w:val="en-US" w:eastAsia="en-US"/>
    </w:rPr>
  </w:style>
  <w:style w:type="table" w:styleId="GridTable4-Accent5">
    <w:name w:val="Grid Table 4 Accent 5"/>
    <w:basedOn w:val="TableNormal"/>
    <w:uiPriority w:val="49"/>
    <w:rsid w:val="006E02F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5">
    <w:name w:val="Grid Table 5 Dark Accent 5"/>
    <w:basedOn w:val="TableNormal"/>
    <w:uiPriority w:val="50"/>
    <w:rsid w:val="006E02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Revision">
    <w:name w:val="Revision"/>
    <w:hidden/>
    <w:uiPriority w:val="99"/>
    <w:semiHidden/>
    <w:rsid w:val="00C60C51"/>
    <w:pPr>
      <w:spacing w:after="0" w:line="240" w:lineRule="auto"/>
    </w:pPr>
  </w:style>
  <w:style w:type="paragraph" w:styleId="ListBullet">
    <w:name w:val="List Bullet"/>
    <w:basedOn w:val="Normal"/>
    <w:uiPriority w:val="99"/>
    <w:unhideWhenUsed/>
    <w:rsid w:val="00B556D0"/>
    <w:pPr>
      <w:numPr>
        <w:numId w:val="11"/>
      </w:numPr>
      <w:spacing w:before="120" w:after="0" w:line="240" w:lineRule="auto"/>
      <w:contextualSpacing/>
      <w:jc w:val="left"/>
    </w:pPr>
    <w:rPr>
      <w:rFonts w:eastAsiaTheme="minorHAnsi"/>
      <w:lang w:val="en-US" w:eastAsia="en-US"/>
    </w:rPr>
  </w:style>
  <w:style w:type="table" w:customStyle="1" w:styleId="GridTable5Dark-Accent31">
    <w:name w:val="Grid Table 5 Dark - Accent 31"/>
    <w:basedOn w:val="TableNormal"/>
    <w:uiPriority w:val="50"/>
    <w:rsid w:val="00B556D0"/>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CommentReference">
    <w:name w:val="annotation reference"/>
    <w:basedOn w:val="DefaultParagraphFont"/>
    <w:uiPriority w:val="99"/>
    <w:semiHidden/>
    <w:unhideWhenUsed/>
    <w:rsid w:val="000C224E"/>
    <w:rPr>
      <w:sz w:val="16"/>
      <w:szCs w:val="16"/>
    </w:rPr>
  </w:style>
  <w:style w:type="paragraph" w:styleId="CommentText">
    <w:name w:val="annotation text"/>
    <w:basedOn w:val="Normal"/>
    <w:link w:val="CommentTextChar"/>
    <w:uiPriority w:val="99"/>
    <w:semiHidden/>
    <w:unhideWhenUsed/>
    <w:rsid w:val="000C224E"/>
    <w:pPr>
      <w:spacing w:line="240" w:lineRule="auto"/>
    </w:pPr>
    <w:rPr>
      <w:sz w:val="20"/>
      <w:szCs w:val="20"/>
    </w:rPr>
  </w:style>
  <w:style w:type="character" w:customStyle="1" w:styleId="CommentTextChar">
    <w:name w:val="Comment Text Char"/>
    <w:basedOn w:val="DefaultParagraphFont"/>
    <w:link w:val="CommentText"/>
    <w:uiPriority w:val="99"/>
    <w:semiHidden/>
    <w:rsid w:val="000C224E"/>
    <w:rPr>
      <w:sz w:val="20"/>
      <w:szCs w:val="20"/>
    </w:rPr>
  </w:style>
  <w:style w:type="paragraph" w:styleId="CommentSubject">
    <w:name w:val="annotation subject"/>
    <w:basedOn w:val="CommentText"/>
    <w:next w:val="CommentText"/>
    <w:link w:val="CommentSubjectChar"/>
    <w:uiPriority w:val="99"/>
    <w:semiHidden/>
    <w:unhideWhenUsed/>
    <w:rsid w:val="000C224E"/>
    <w:rPr>
      <w:b/>
      <w:bCs/>
    </w:rPr>
  </w:style>
  <w:style w:type="character" w:customStyle="1" w:styleId="CommentSubjectChar">
    <w:name w:val="Comment Subject Char"/>
    <w:basedOn w:val="CommentTextChar"/>
    <w:link w:val="CommentSubject"/>
    <w:uiPriority w:val="99"/>
    <w:semiHidden/>
    <w:rsid w:val="000C224E"/>
    <w:rPr>
      <w:b/>
      <w:bCs/>
      <w:sz w:val="20"/>
      <w:szCs w:val="20"/>
    </w:rPr>
  </w:style>
  <w:style w:type="character" w:styleId="UnresolvedMention">
    <w:name w:val="Unresolved Mention"/>
    <w:basedOn w:val="DefaultParagraphFont"/>
    <w:uiPriority w:val="99"/>
    <w:semiHidden/>
    <w:unhideWhenUsed/>
    <w:rsid w:val="00394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7263">
      <w:bodyDiv w:val="1"/>
      <w:marLeft w:val="0"/>
      <w:marRight w:val="0"/>
      <w:marTop w:val="0"/>
      <w:marBottom w:val="0"/>
      <w:divBdr>
        <w:top w:val="none" w:sz="0" w:space="0" w:color="auto"/>
        <w:left w:val="none" w:sz="0" w:space="0" w:color="auto"/>
        <w:bottom w:val="none" w:sz="0" w:space="0" w:color="auto"/>
        <w:right w:val="none" w:sz="0" w:space="0" w:color="auto"/>
      </w:divBdr>
    </w:div>
    <w:div w:id="469858746">
      <w:bodyDiv w:val="1"/>
      <w:marLeft w:val="0"/>
      <w:marRight w:val="0"/>
      <w:marTop w:val="0"/>
      <w:marBottom w:val="0"/>
      <w:divBdr>
        <w:top w:val="none" w:sz="0" w:space="0" w:color="auto"/>
        <w:left w:val="none" w:sz="0" w:space="0" w:color="auto"/>
        <w:bottom w:val="none" w:sz="0" w:space="0" w:color="auto"/>
        <w:right w:val="none" w:sz="0" w:space="0" w:color="auto"/>
      </w:divBdr>
    </w:div>
    <w:div w:id="1120535642">
      <w:bodyDiv w:val="1"/>
      <w:marLeft w:val="0"/>
      <w:marRight w:val="0"/>
      <w:marTop w:val="0"/>
      <w:marBottom w:val="0"/>
      <w:divBdr>
        <w:top w:val="none" w:sz="0" w:space="0" w:color="auto"/>
        <w:left w:val="none" w:sz="0" w:space="0" w:color="auto"/>
        <w:bottom w:val="none" w:sz="0" w:space="0" w:color="auto"/>
        <w:right w:val="none" w:sz="0" w:space="0" w:color="auto"/>
      </w:divBdr>
    </w:div>
    <w:div w:id="1320113739">
      <w:bodyDiv w:val="1"/>
      <w:marLeft w:val="0"/>
      <w:marRight w:val="0"/>
      <w:marTop w:val="0"/>
      <w:marBottom w:val="0"/>
      <w:divBdr>
        <w:top w:val="none" w:sz="0" w:space="0" w:color="auto"/>
        <w:left w:val="none" w:sz="0" w:space="0" w:color="auto"/>
        <w:bottom w:val="none" w:sz="0" w:space="0" w:color="auto"/>
        <w:right w:val="none" w:sz="0" w:space="0" w:color="auto"/>
      </w:divBdr>
    </w:div>
    <w:div w:id="1670206736">
      <w:bodyDiv w:val="1"/>
      <w:marLeft w:val="0"/>
      <w:marRight w:val="0"/>
      <w:marTop w:val="0"/>
      <w:marBottom w:val="0"/>
      <w:divBdr>
        <w:top w:val="none" w:sz="0" w:space="0" w:color="auto"/>
        <w:left w:val="none" w:sz="0" w:space="0" w:color="auto"/>
        <w:bottom w:val="none" w:sz="0" w:space="0" w:color="auto"/>
        <w:right w:val="none" w:sz="0" w:space="0" w:color="auto"/>
      </w:divBdr>
    </w:div>
    <w:div w:id="1919319274">
      <w:bodyDiv w:val="1"/>
      <w:marLeft w:val="0"/>
      <w:marRight w:val="0"/>
      <w:marTop w:val="0"/>
      <w:marBottom w:val="0"/>
      <w:divBdr>
        <w:top w:val="none" w:sz="0" w:space="0" w:color="auto"/>
        <w:left w:val="none" w:sz="0" w:space="0" w:color="auto"/>
        <w:bottom w:val="none" w:sz="0" w:space="0" w:color="auto"/>
        <w:right w:val="none" w:sz="0" w:space="0" w:color="auto"/>
      </w:divBdr>
    </w:div>
    <w:div w:id="21058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pc.org/ipc-1754-verified-solution-provi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pc.org/ipc-1754-verified-solution-provider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C06362187C43E78D23D96DE4226BDF"/>
        <w:category>
          <w:name w:val="General"/>
          <w:gallery w:val="placeholder"/>
        </w:category>
        <w:types>
          <w:type w:val="bbPlcHdr"/>
        </w:types>
        <w:behaviors>
          <w:behavior w:val="content"/>
        </w:behaviors>
        <w:guid w:val="{63C24BD5-FD58-4CA6-8CC0-DAE9CA58E968}"/>
      </w:docPartPr>
      <w:docPartBody>
        <w:p w:rsidR="00E11DD1" w:rsidRDefault="00BB1D8F" w:rsidP="00BB1D8F">
          <w:pPr>
            <w:pStyle w:val="19C06362187C43E78D23D96DE4226BDF1"/>
          </w:pPr>
          <w:r w:rsidRPr="00FB1726">
            <w:rPr>
              <w:rStyle w:val="PlaceholderText"/>
            </w:rPr>
            <w:t>[Title]</w:t>
          </w:r>
        </w:p>
      </w:docPartBody>
    </w:docPart>
    <w:docPart>
      <w:docPartPr>
        <w:name w:val="61FA97A7103F45759D0AACD17DD797D9"/>
        <w:category>
          <w:name w:val="General"/>
          <w:gallery w:val="placeholder"/>
        </w:category>
        <w:types>
          <w:type w:val="bbPlcHdr"/>
        </w:types>
        <w:behaviors>
          <w:behavior w:val="content"/>
        </w:behaviors>
        <w:guid w:val="{870BE380-174F-457D-87C4-C9C688E3BF88}"/>
      </w:docPartPr>
      <w:docPartBody>
        <w:p w:rsidR="00E11DD1" w:rsidRDefault="00BB1D8F" w:rsidP="00BB1D8F">
          <w:pPr>
            <w:pStyle w:val="61FA97A7103F45759D0AACD17DD797D91"/>
          </w:pPr>
          <w:r w:rsidRPr="00FB1726">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D8F"/>
    <w:rsid w:val="00025899"/>
    <w:rsid w:val="000B54BC"/>
    <w:rsid w:val="002614BA"/>
    <w:rsid w:val="002B7C99"/>
    <w:rsid w:val="00572DC0"/>
    <w:rsid w:val="006242CC"/>
    <w:rsid w:val="007E7103"/>
    <w:rsid w:val="0097268D"/>
    <w:rsid w:val="00BB1566"/>
    <w:rsid w:val="00BB1D8F"/>
    <w:rsid w:val="00E11DD1"/>
    <w:rsid w:val="00F5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D8F"/>
    <w:rPr>
      <w:color w:val="808080"/>
    </w:rPr>
  </w:style>
  <w:style w:type="paragraph" w:customStyle="1" w:styleId="19C06362187C43E78D23D96DE4226BDF1">
    <w:name w:val="19C06362187C43E78D23D96DE4226BDF1"/>
    <w:rsid w:val="00BB1D8F"/>
    <w:pPr>
      <w:pBdr>
        <w:bottom w:val="single" w:sz="4" w:space="1" w:color="auto"/>
      </w:pBdr>
      <w:spacing w:line="240" w:lineRule="auto"/>
      <w:contextualSpacing/>
      <w:jc w:val="both"/>
    </w:pPr>
    <w:rPr>
      <w:rFonts w:ascii="Cambria" w:eastAsia="Times New Roman" w:hAnsi="Cambria" w:cs="Times New Roman"/>
      <w:spacing w:val="5"/>
      <w:sz w:val="52"/>
      <w:szCs w:val="52"/>
    </w:rPr>
  </w:style>
  <w:style w:type="paragraph" w:customStyle="1" w:styleId="61FA97A7103F45759D0AACD17DD797D91">
    <w:name w:val="61FA97A7103F45759D0AACD17DD797D91"/>
    <w:rsid w:val="00BB1D8F"/>
    <w:pPr>
      <w:spacing w:after="600"/>
      <w:jc w:val="both"/>
    </w:pPr>
    <w:rPr>
      <w:rFonts w:ascii="Cambria" w:eastAsia="Times New Roman" w:hAnsi="Cambria" w:cs="Times New Roman"/>
      <w:i/>
      <w:iCs/>
      <w:spacing w:val="13"/>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2023-12-11T00:00:00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a16a2b3-32e8-4749-aa7f-962c8bc1d3fc" xsi:nil="true"/>
    <lcf76f155ced4ddcb4097134ff3c332f xmlns="da16a2b3-32e8-4749-aa7f-962c8bc1d3fc">
      <Terms xmlns="http://schemas.microsoft.com/office/infopath/2007/PartnerControls"/>
    </lcf76f155ced4ddcb4097134ff3c332f>
    <TaxCatchAll xmlns="f48db8f3-84c0-42af-ad78-72a22438cc61" xsi:nil="true"/>
    <Comments xmlns="da16a2b3-32e8-4749-aa7f-962c8bc1d3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8FB551407751D43B71FA9FF21DD6BC3" ma:contentTypeVersion="20" ma:contentTypeDescription="Create a new document." ma:contentTypeScope="" ma:versionID="39aba12a955e4d4772d034de1be73a52">
  <xsd:schema xmlns:xsd="http://www.w3.org/2001/XMLSchema" xmlns:xs="http://www.w3.org/2001/XMLSchema" xmlns:p="http://schemas.microsoft.com/office/2006/metadata/properties" xmlns:ns2="da16a2b3-32e8-4749-aa7f-962c8bc1d3fc" xmlns:ns3="d404c0b0-ecba-4c18-a1ea-0643d4e5b43d" xmlns:ns4="f48db8f3-84c0-42af-ad78-72a22438cc61" targetNamespace="http://schemas.microsoft.com/office/2006/metadata/properties" ma:root="true" ma:fieldsID="008e4ae75e865c7d80dee34c2400e058" ns2:_="" ns3:_="" ns4:_="">
    <xsd:import namespace="da16a2b3-32e8-4749-aa7f-962c8bc1d3fc"/>
    <xsd:import namespace="d404c0b0-ecba-4c18-a1ea-0643d4e5b43d"/>
    <xsd:import namespace="f48db8f3-84c0-42af-ad78-72a22438c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4:TaxCatchAll" minOccurs="0"/>
                <xsd:element ref="ns2:lcf76f155ced4ddcb4097134ff3c332f" minOccurs="0"/>
                <xsd:element ref="ns2:_Flow_SignoffStatu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6a2b3-32e8-4749-aa7f-962c8bc1d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b23e0d-b85c-4a1f-8b87-c4f682da758b"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Comments" ma:index="24" nillable="true" ma:displayName="Comments" ma:description="To add comments" ma:format="Dropdown" ma:internalName="Comment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04c0b0-ecba-4c18-a1ea-0643d4e5b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db8f3-84c0-42af-ad78-72a22438cc6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fc41f1a-4007-476e-aaa2-f6305c7886f9}" ma:internalName="TaxCatchAll" ma:showField="CatchAllData" ma:web="f48db8f3-84c0-42af-ad78-72a22438c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E7011-3437-4332-92A5-651A78AB2D66}">
  <ds:schemaRefs>
    <ds:schemaRef ds:uri="http://schemas.microsoft.com/office/2006/metadata/properties"/>
    <ds:schemaRef ds:uri="http://schemas.microsoft.com/office/infopath/2007/PartnerControls"/>
    <ds:schemaRef ds:uri="da16a2b3-32e8-4749-aa7f-962c8bc1d3fc"/>
    <ds:schemaRef ds:uri="f48db8f3-84c0-42af-ad78-72a22438cc61"/>
  </ds:schemaRefs>
</ds:datastoreItem>
</file>

<file path=customXml/itemProps3.xml><?xml version="1.0" encoding="utf-8"?>
<ds:datastoreItem xmlns:ds="http://schemas.openxmlformats.org/officeDocument/2006/customXml" ds:itemID="{8B515AD4-D4BA-4752-9F78-CA88EA8F8CFA}">
  <ds:schemaRefs>
    <ds:schemaRef ds:uri="http://schemas.microsoft.com/sharepoint/v3/contenttype/forms"/>
  </ds:schemaRefs>
</ds:datastoreItem>
</file>

<file path=customXml/itemProps4.xml><?xml version="1.0" encoding="utf-8"?>
<ds:datastoreItem xmlns:ds="http://schemas.openxmlformats.org/officeDocument/2006/customXml" ds:itemID="{6E4514A8-82B4-4801-8374-604D11877BA5}">
  <ds:schemaRefs>
    <ds:schemaRef ds:uri="http://schemas.openxmlformats.org/officeDocument/2006/bibliography"/>
  </ds:schemaRefs>
</ds:datastoreItem>
</file>

<file path=customXml/itemProps5.xml><?xml version="1.0" encoding="utf-8"?>
<ds:datastoreItem xmlns:ds="http://schemas.openxmlformats.org/officeDocument/2006/customXml" ds:itemID="{E7F32BDC-0CF9-4EB9-A958-DE6560099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6a2b3-32e8-4749-aa7f-962c8bc1d3fc"/>
    <ds:schemaRef ds:uri="d404c0b0-ecba-4c18-a1ea-0643d4e5b43d"/>
    <ds:schemaRef ds:uri="f48db8f3-84c0-42af-ad78-72a22438c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Release Note – IAEG® AD-SRT 2.0</vt:lpstr>
    </vt:vector>
  </TitlesOfParts>
  <Company>Raytheon UK</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Note – IAEG® AD-SRT 2.0</dc:title>
  <dc:creator>Steven Brennan</dc:creator>
  <cp:keywords/>
  <dc:description>establishing a standardized list for supplier materials declaration for the Aerospace &amp; Defense industry.</dc:description>
  <cp:lastModifiedBy>Pietros, Mussie (GE Aerospace, US)</cp:lastModifiedBy>
  <cp:revision>2</cp:revision>
  <dcterms:created xsi:type="dcterms:W3CDTF">2023-12-14T12:13:00Z</dcterms:created>
  <dcterms:modified xsi:type="dcterms:W3CDTF">2023-12-14T12:13:00Z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0x01010038FB551407751D43B71FA9FF21DD6BC3</vt:lpwstr>
  </property>
</Properties>
</file>